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Framework Schedule 7 (Call-Off Award Procedure</w:t>
      </w:r>
      <w:bookmarkStart w:colFirst="0" w:colLast="0" w:name="bookmark=id.gjdgxs" w:id="0"/>
      <w:bookmarkEnd w:id="0"/>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1: Order Procedure</w:t>
      </w:r>
    </w:p>
    <w:p w:rsidR="00000000" w:rsidDel="00000000" w:rsidP="00000000" w:rsidRDefault="00000000" w:rsidRPr="00000000" w14:paraId="00000003">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a Call-Off Contract is awarded</w:t>
      </w:r>
    </w:p>
    <w:p w:rsidR="00000000" w:rsidDel="00000000" w:rsidP="00000000" w:rsidRDefault="00000000" w:rsidRPr="00000000" w14:paraId="0000000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potential Buyer decides to source Deliverables through this Contract then it will award its Deliverables in accordance with the procedure in this Schedule and the requirements of the Regulations.</w:t>
      </w:r>
    </w:p>
    <w:p w:rsidR="00000000" w:rsidDel="00000000" w:rsidP="00000000" w:rsidRDefault="00000000" w:rsidRPr="00000000" w14:paraId="00000005">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potential Buyer can determine that:</w:t>
      </w:r>
    </w:p>
    <w:p w:rsidR="00000000" w:rsidDel="00000000" w:rsidP="00000000" w:rsidRDefault="00000000" w:rsidRPr="00000000" w14:paraId="0000000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its Deliverables can be met by the Suppliers’ catalogues and description of the Deliverables as set out in Framework Schedule 1 (Specification) and Framework Schedule 2 (Framework Tender); and</w:t>
      </w:r>
    </w:p>
    <w:p w:rsidR="00000000" w:rsidDel="00000000" w:rsidP="00000000" w:rsidRDefault="00000000" w:rsidRPr="00000000" w14:paraId="0000000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of the terms of the proposed Call-Off Contract are laid down in this Contract and do not require amendment or any supplementary terms and conditions;</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4536"/>
        </w:tabs>
        <w:spacing w:after="220" w:before="0" w:line="240" w:lineRule="auto"/>
        <w:ind w:left="93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then the Buyer may award a Call-Off Contract in accordance with the procedure set out in Paragraph 2 below.</w:t>
      </w:r>
    </w:p>
    <w:p w:rsidR="00000000" w:rsidDel="00000000" w:rsidP="00000000" w:rsidRDefault="00000000" w:rsidRPr="00000000" w14:paraId="00000009">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all of the terms of the proposed Call-Off Contract are not laid down in this Contract and the potential Buyer:</w:t>
      </w:r>
    </w:p>
    <w:p w:rsidR="00000000" w:rsidDel="00000000" w:rsidP="00000000" w:rsidRDefault="00000000" w:rsidRPr="00000000" w14:paraId="0000000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requires the Supplier to develop proposals or a solution in respect of such Deliverables; and/or</w:t>
      </w:r>
    </w:p>
    <w:p w:rsidR="00000000" w:rsidDel="00000000" w:rsidP="00000000" w:rsidRDefault="00000000" w:rsidRPr="00000000" w14:paraId="0000000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needs to amend or refine the terms of the Framework Contract to reflect its Deliverables to the extent permitted by and in accordance with the Regulations;</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4536"/>
        </w:tabs>
        <w:spacing w:after="220" w:before="0" w:line="240" w:lineRule="auto"/>
        <w:ind w:left="90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then the Buyer may award a Call-Off Contract in accordance with the Further Competition Procedure set out in Paragraph 3 below.</w:t>
      </w:r>
    </w:p>
    <w:p w:rsidR="00000000" w:rsidDel="00000000" w:rsidP="00000000" w:rsidRDefault="00000000" w:rsidRPr="00000000" w14:paraId="0000000D">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a direct award works</w:t>
      </w:r>
    </w:p>
    <w:p w:rsidR="00000000" w:rsidDel="00000000" w:rsidP="00000000" w:rsidRDefault="00000000" w:rsidRPr="00000000" w14:paraId="0000000E">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1.2 above the Buyer awarding a Call-Off Contract under this Contract without holding a further competition shall:</w:t>
      </w:r>
    </w:p>
    <w:p w:rsidR="00000000" w:rsidDel="00000000" w:rsidP="00000000" w:rsidRDefault="00000000" w:rsidRPr="00000000" w14:paraId="0000000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develop a clear Statement of Requirements;</w:t>
      </w:r>
    </w:p>
    <w:p w:rsidR="00000000" w:rsidDel="00000000" w:rsidP="00000000" w:rsidRDefault="00000000" w:rsidRPr="00000000" w14:paraId="0000001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apply the direct award criteria to the Suppliers’ catalogues and description of the Deliverables as set out in Framework Schedule 1 (Specification) and Framework Schedule 2 (Framework Tender) for all Suppliers capable of meeting the Statement of Requirements in order to establish which Supplier provides the most economically advantageous solution; and</w:t>
      </w:r>
    </w:p>
    <w:p w:rsidR="00000000" w:rsidDel="00000000" w:rsidP="00000000" w:rsidRDefault="00000000" w:rsidRPr="00000000" w14:paraId="0000001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the basis set out above, award the Call-Off Contract with the successful Supplier in accordance with Paragraph 6 below.</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3641"/>
        </w:tabs>
        <w:spacing w:after="120" w:before="120" w:line="240" w:lineRule="auto"/>
        <w:ind w:left="198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3">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a further competition works</w:t>
      </w:r>
    </w:p>
    <w:p w:rsidR="00000000" w:rsidDel="00000000" w:rsidP="00000000" w:rsidRDefault="00000000" w:rsidRPr="00000000" w14:paraId="00000014">
      <w:pPr>
        <w:keepNext w:val="1"/>
        <w:keepLines w:val="0"/>
        <w:widowControl w:val="1"/>
        <w:pBdr>
          <w:top w:space="0" w:sz="0" w:val="nil"/>
          <w:left w:space="0" w:sz="0" w:val="nil"/>
          <w:bottom w:space="0" w:sz="0" w:val="nil"/>
          <w:right w:space="0" w:sz="0" w:val="nil"/>
          <w:between w:space="0" w:sz="0" w:val="nil"/>
        </w:pBdr>
        <w:shd w:fill="auto" w:val="clear"/>
        <w:tabs>
          <w:tab w:val="left" w:pos="3054"/>
        </w:tabs>
        <w:spacing w:after="120" w:before="120" w:line="240" w:lineRule="auto"/>
        <w:ind w:left="1134" w:right="0" w:hanging="77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the Buyer has to do</w:t>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80" w:before="120" w:line="259" w:lineRule="auto"/>
        <w:ind w:left="108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applicable, the Buyer may use the following procedure to shortlist Suppliers before entering into a Further Competition Procedure: </w:t>
      </w:r>
    </w:p>
    <w:p w:rsidR="00000000" w:rsidDel="00000000" w:rsidP="00000000" w:rsidRDefault="00000000" w:rsidRPr="00000000" w14:paraId="00000016">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80" w:before="120" w:line="259" w:lineRule="auto"/>
        <w:ind w:left="261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Service Filters – The Buyer will produce a Supplier shortlist based on the Service Filters. </w:t>
      </w:r>
    </w:p>
    <w:p w:rsidR="00000000" w:rsidDel="00000000" w:rsidP="00000000" w:rsidRDefault="00000000" w:rsidRPr="00000000" w14:paraId="00000017">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80" w:before="120" w:line="259" w:lineRule="auto"/>
        <w:ind w:left="261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Expression Of Interest (EOI) – The Buyer may use an EOI process to produce a Supplier shortlist. The EOI may contain the following details but is not limited to: scope, scale, timescales, incumbent supplier, grades, payment terms, capacity and/or budget. </w:t>
      </w:r>
    </w:p>
    <w:p w:rsidR="00000000" w:rsidDel="00000000" w:rsidP="00000000" w:rsidRDefault="00000000" w:rsidRPr="00000000" w14:paraId="00000018">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80" w:before="120" w:line="259" w:lineRule="auto"/>
        <w:ind w:left="261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Service Filters and Expression of Interest – The Buyer may use both of the procedures detailed in paragraph 3.1.2 and 3.1.3. </w:t>
      </w:r>
    </w:p>
    <w:p w:rsidR="00000000" w:rsidDel="00000000" w:rsidP="00000000" w:rsidRDefault="00000000" w:rsidRPr="00000000" w14:paraId="00000019">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80" w:before="120" w:line="259" w:lineRule="auto"/>
        <w:ind w:left="261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Conference call – The Buyer may use this after the EOI. The Buyer will provide further information on its requirement and Suppliers may have the opportunity to raise queries. </w:t>
      </w:r>
    </w:p>
    <w:p w:rsidR="00000000" w:rsidDel="00000000" w:rsidP="00000000" w:rsidRDefault="00000000" w:rsidRPr="00000000" w14:paraId="0000001A">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80" w:before="120" w:line="259" w:lineRule="auto"/>
        <w:ind w:left="261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Suppliers can deselect themselves through the process after the Service Filters and/or EOI and/or conference call. </w:t>
      </w:r>
    </w:p>
    <w:p w:rsidR="00000000" w:rsidDel="00000000" w:rsidP="00000000" w:rsidRDefault="00000000" w:rsidRPr="00000000" w14:paraId="0000001B">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80" w:before="120" w:line="259" w:lineRule="auto"/>
        <w:ind w:left="108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Supplier does not respond to the EOI in accordance with any stated timescales they will not be invited to participate in the Further Competition Procedure. </w:t>
      </w:r>
    </w:p>
    <w:p w:rsidR="00000000" w:rsidDel="00000000" w:rsidP="00000000" w:rsidRDefault="00000000" w:rsidRPr="00000000" w14:paraId="0000001C">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80" w:before="120" w:line="259" w:lineRule="auto"/>
        <w:ind w:left="108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Supplier is invited to the conference call and they do not attend they may not be invited to participate in the Further Competition Procedure. </w:t>
      </w:r>
    </w:p>
    <w:p w:rsidR="00000000" w:rsidDel="00000000" w:rsidP="00000000" w:rsidRDefault="00000000" w:rsidRPr="00000000" w14:paraId="0000001D">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80" w:before="120" w:line="259" w:lineRule="auto"/>
        <w:ind w:left="108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CCS reserves the right to add or change the Services Filters and the EOI template throughout the lifetime of the Framework Agreement. </w:t>
      </w:r>
    </w:p>
    <w:p w:rsidR="00000000" w:rsidDel="00000000" w:rsidP="00000000" w:rsidRDefault="00000000" w:rsidRPr="00000000" w14:paraId="0000001E">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80" w:before="120" w:line="259" w:lineRule="auto"/>
        <w:ind w:left="108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may update their Service Filters during the lifetime of the Framework Agreement subject to you providing a customer reference. </w:t>
      </w:r>
    </w:p>
    <w:p w:rsidR="00000000" w:rsidDel="00000000" w:rsidP="00000000" w:rsidRDefault="00000000" w:rsidRPr="00000000" w14:paraId="0000001F">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awarding a Call-Off Contract under this Contract through a Further Competition Procedure shall:</w:t>
      </w:r>
    </w:p>
    <w:p w:rsidR="00000000" w:rsidDel="00000000" w:rsidP="00000000" w:rsidRDefault="00000000" w:rsidRPr="00000000" w14:paraId="0000002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develop a Statement of Requirements setting out its requirements for the Deliverables and identify the Suppliers capable of supplying the them;</w:t>
      </w:r>
    </w:p>
    <w:p w:rsidR="00000000" w:rsidDel="00000000" w:rsidP="00000000" w:rsidRDefault="00000000" w:rsidRPr="00000000" w14:paraId="0000002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amend or refine the Deliverables to reflect its requirements by using the Order Form only to the extent permitted by and in accordance with the requirements of the Regulations;</w:t>
      </w:r>
    </w:p>
    <w:p w:rsidR="00000000" w:rsidDel="00000000" w:rsidP="00000000" w:rsidRDefault="00000000" w:rsidRPr="00000000" w14:paraId="00000022">
      <w:pPr>
        <w:keepNext w:val="1"/>
        <w:keepLines w:val="0"/>
        <w:widowControl w:val="1"/>
        <w:numPr>
          <w:ilvl w:val="2"/>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invite tenders by conducting a Further Competition Procedure for its Deliverables in accordance with the Regulations and in particular:</w:t>
      </w:r>
    </w:p>
    <w:p w:rsidR="00000000" w:rsidDel="00000000" w:rsidP="00000000" w:rsidRDefault="00000000" w:rsidRPr="00000000" w14:paraId="00000023">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Electronic Reverse Auction (as defined in Paragraph 7 below) is to be held, the Buyer shall notify the Suppliers identified in accordance with Paragraph 3.1.1 and shall conduct the Further Competition Procedure in accordance with the procedures set out in Paragraph 3; or</w:t>
      </w:r>
    </w:p>
    <w:p w:rsidR="00000000" w:rsidDel="00000000" w:rsidP="00000000" w:rsidRDefault="00000000" w:rsidRPr="00000000" w14:paraId="00000024">
      <w:pPr>
        <w:keepNext w:val="1"/>
        <w:keepLines w:val="0"/>
        <w:widowControl w:val="1"/>
        <w:numPr>
          <w:ilvl w:val="3"/>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Electronic Reverse Auction is not used, the Buyer shall:</w:t>
      </w:r>
    </w:p>
    <w:p w:rsidR="00000000" w:rsidDel="00000000" w:rsidP="00000000" w:rsidRDefault="00000000" w:rsidRPr="00000000" w14:paraId="00000025">
      <w:pPr>
        <w:keepNext w:val="0"/>
        <w:keepLines w:val="0"/>
        <w:widowControl w:val="1"/>
        <w:numPr>
          <w:ilvl w:val="4"/>
          <w:numId w:val="1"/>
        </w:numPr>
        <w:pBdr>
          <w:top w:space="0" w:sz="0" w:val="nil"/>
          <w:left w:space="0" w:sz="0" w:val="nil"/>
          <w:bottom w:space="0" w:sz="0" w:val="nil"/>
          <w:right w:space="0" w:sz="0" w:val="nil"/>
          <w:between w:space="0" w:sz="0" w:val="nil"/>
        </w:pBdr>
        <w:shd w:fill="auto" w:val="clear"/>
        <w:tabs>
          <w:tab w:val="left" w:pos="6238"/>
        </w:tabs>
        <w:spacing w:after="120" w:before="120" w:line="240" w:lineRule="auto"/>
        <w:ind w:left="3119"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invite the Suppliers identified in accordance with Paragraph 3.1.1 to submit a tender in writing for each proposed Call-Off Contract to be awarded by giving written notice by email to the relevant Supplier Representative of each Supplier;</w:t>
      </w:r>
    </w:p>
    <w:p w:rsidR="00000000" w:rsidDel="00000000" w:rsidP="00000000" w:rsidRDefault="00000000" w:rsidRPr="00000000" w14:paraId="00000026">
      <w:pPr>
        <w:keepNext w:val="0"/>
        <w:keepLines w:val="0"/>
        <w:widowControl w:val="1"/>
        <w:numPr>
          <w:ilvl w:val="4"/>
          <w:numId w:val="1"/>
        </w:numPr>
        <w:pBdr>
          <w:top w:space="0" w:sz="0" w:val="nil"/>
          <w:left w:space="0" w:sz="0" w:val="nil"/>
          <w:bottom w:space="0" w:sz="0" w:val="nil"/>
          <w:right w:space="0" w:sz="0" w:val="nil"/>
          <w:between w:space="0" w:sz="0" w:val="nil"/>
        </w:pBdr>
        <w:shd w:fill="auto" w:val="clear"/>
        <w:tabs>
          <w:tab w:val="left" w:pos="6238"/>
        </w:tabs>
        <w:spacing w:after="120" w:before="120" w:line="240" w:lineRule="auto"/>
        <w:ind w:left="3119"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a time limit for the receipt by it of the tenders which takes into account factors such as the complexity of the subject matter of the proposed Call-Off Contract and the time needed to submit tenders; and</w:t>
      </w:r>
    </w:p>
    <w:p w:rsidR="00000000" w:rsidDel="00000000" w:rsidP="00000000" w:rsidRDefault="00000000" w:rsidRPr="00000000" w14:paraId="00000027">
      <w:pPr>
        <w:keepNext w:val="0"/>
        <w:keepLines w:val="0"/>
        <w:widowControl w:val="1"/>
        <w:numPr>
          <w:ilvl w:val="4"/>
          <w:numId w:val="1"/>
        </w:numPr>
        <w:pBdr>
          <w:top w:space="0" w:sz="0" w:val="nil"/>
          <w:left w:space="0" w:sz="0" w:val="nil"/>
          <w:bottom w:space="0" w:sz="0" w:val="nil"/>
          <w:right w:space="0" w:sz="0" w:val="nil"/>
          <w:between w:space="0" w:sz="0" w:val="nil"/>
        </w:pBdr>
        <w:shd w:fill="auto" w:val="clear"/>
        <w:tabs>
          <w:tab w:val="left" w:pos="6238"/>
        </w:tabs>
        <w:spacing w:after="120" w:before="120" w:line="240" w:lineRule="auto"/>
        <w:ind w:left="3119"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keep each tender confidential until the time limit set out for the return of tenders has expired.</w:t>
      </w:r>
    </w:p>
    <w:p w:rsidR="00000000" w:rsidDel="00000000" w:rsidP="00000000" w:rsidRDefault="00000000" w:rsidRPr="00000000" w14:paraId="0000002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apply the further competition award criteria to the Suppliers' compliant tenders submitted through the Further Competition Procedure as the basis of its decision to award a Call-Off Contract for its Deliverables;</w:t>
      </w:r>
    </w:p>
    <w:p w:rsidR="00000000" w:rsidDel="00000000" w:rsidP="00000000" w:rsidRDefault="00000000" w:rsidRPr="00000000" w14:paraId="00000029">
      <w:pPr>
        <w:keepNext w:val="1"/>
        <w:keepLines w:val="0"/>
        <w:widowControl w:val="1"/>
        <w:numPr>
          <w:ilvl w:val="2"/>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the basis set out above, award its Call-Off Contract to the successful Supplier in accordance with Paragraph 6. The Call-Off Contract shall:</w:t>
      </w:r>
    </w:p>
    <w:p w:rsidR="00000000" w:rsidDel="00000000" w:rsidP="00000000" w:rsidRDefault="00000000" w:rsidRPr="00000000" w14:paraId="0000002A">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state the Deliverables;</w:t>
      </w:r>
    </w:p>
    <w:p w:rsidR="00000000" w:rsidDel="00000000" w:rsidP="00000000" w:rsidRDefault="00000000" w:rsidRPr="00000000" w14:paraId="0000002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state the tender submitted by the successful Supplier;</w:t>
      </w:r>
    </w:p>
    <w:p w:rsidR="00000000" w:rsidDel="00000000" w:rsidP="00000000" w:rsidRDefault="00000000" w:rsidRPr="00000000" w14:paraId="0000002C">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state the Charges payable for the Deliverables in accordance with the tender submitted by the successful Supplier; and</w:t>
      </w:r>
    </w:p>
    <w:p w:rsidR="00000000" w:rsidDel="00000000" w:rsidP="00000000" w:rsidRDefault="00000000" w:rsidRPr="00000000" w14:paraId="0000002D">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incorporate the terms [of the Order Form and Contract] (as may be amended or refined by the Buyer in accordance with Paragraph 3.1.2. above) applicable to the Deliverables,</w:t>
      </w:r>
    </w:p>
    <w:p w:rsidR="00000000" w:rsidDel="00000000" w:rsidP="00000000" w:rsidRDefault="00000000" w:rsidRPr="00000000" w14:paraId="0000002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unsuccessful Suppliers with written feedback in relation to the reasons why their tenders were unsuccessful.</w:t>
      </w:r>
    </w:p>
    <w:p w:rsidR="00000000" w:rsidDel="00000000" w:rsidP="00000000" w:rsidRDefault="00000000" w:rsidRPr="00000000" w14:paraId="0000002F">
      <w:pPr>
        <w:keepNext w:val="1"/>
        <w:keepLines w:val="0"/>
        <w:widowControl w:val="1"/>
        <w:pBdr>
          <w:top w:space="0" w:sz="0" w:val="nil"/>
          <w:left w:space="0" w:sz="0" w:val="nil"/>
          <w:bottom w:space="0" w:sz="0" w:val="nil"/>
          <w:right w:space="0" w:sz="0" w:val="nil"/>
          <w:between w:space="0" w:sz="0" w:val="nil"/>
        </w:pBdr>
        <w:shd w:fill="auto" w:val="clear"/>
        <w:tabs>
          <w:tab w:val="left" w:pos="305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the Supplier has to do</w:t>
      </w:r>
    </w:p>
    <w:p w:rsidR="00000000" w:rsidDel="00000000" w:rsidP="00000000" w:rsidRDefault="00000000" w:rsidRPr="00000000" w14:paraId="00000030">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 writing, by the time and date specified by the Buyer following an invitation to tender pursuant to Paragraph 3.1.3 above, provide CCS and the Buyer with either:</w:t>
      </w:r>
      <w:r w:rsidDel="00000000" w:rsidR="00000000" w:rsidRPr="00000000">
        <w:rPr>
          <w:rtl w:val="0"/>
        </w:rPr>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left" w:pos="3641"/>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statement to the effect that it does not wish to tender in relation to the Deliverables; or</w:t>
      </w:r>
    </w:p>
    <w:p w:rsidR="00000000" w:rsidDel="00000000" w:rsidP="00000000" w:rsidRDefault="00000000" w:rsidRPr="00000000" w14:paraId="00000033">
      <w:pPr>
        <w:keepNext w:val="1"/>
        <w:keepLines w:val="0"/>
        <w:widowControl w:val="1"/>
        <w:numPr>
          <w:ilvl w:val="2"/>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full details of its tender made in respect of the relevant Statement of Requirements. In the event that the Supplier submits such a tender, it should include, as a minimum:</w:t>
      </w:r>
    </w:p>
    <w:p w:rsidR="00000000" w:rsidDel="00000000" w:rsidP="00000000" w:rsidRDefault="00000000" w:rsidRPr="00000000" w14:paraId="00000034">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email response subject line to comprise unique reference number and Supplier name, so as to clearly identify the Supplier;</w:t>
      </w:r>
    </w:p>
    <w:p w:rsidR="00000000" w:rsidDel="00000000" w:rsidP="00000000" w:rsidRDefault="00000000" w:rsidRPr="00000000" w14:paraId="00000035">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brief summary, in the email (followed by a confirmation letter), stating that the Supplier is bidding for the Statement of Requirements;</w:t>
      </w:r>
    </w:p>
    <w:p w:rsidR="00000000" w:rsidDel="00000000" w:rsidP="00000000" w:rsidRDefault="00000000" w:rsidRPr="00000000" w14:paraId="00000036">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proposal covering the Deliverables;</w:t>
      </w:r>
    </w:p>
    <w:p w:rsidR="00000000" w:rsidDel="00000000" w:rsidP="00000000" w:rsidRDefault="00000000" w:rsidRPr="00000000" w14:paraId="00000037">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CVs of key staff – as a minimum any lead consultant, with others, as considered appropriate along with required staff levels (if necessary); and</w:t>
      </w:r>
    </w:p>
    <w:p w:rsidR="00000000" w:rsidDel="00000000" w:rsidP="00000000" w:rsidRDefault="00000000" w:rsidRPr="00000000" w14:paraId="00000038">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confirmation of discounts applicable to the Deliverables, as referenced in Framework Schedule 3 (Framework Prices) (if applicable).</w:t>
      </w:r>
    </w:p>
    <w:p w:rsidR="00000000" w:rsidDel="00000000" w:rsidP="00000000" w:rsidRDefault="00000000" w:rsidRPr="00000000" w14:paraId="0000003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any prices submitted in relation to a Further Competition Procedure held pursuant to this Paragraph 3 shall be based on the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charging structure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take into account any discount to which the Buyer may be entitled as set out in Framework Schedule 3 (Framework Prices).</w:t>
      </w:r>
    </w:p>
    <w:p w:rsidR="00000000" w:rsidDel="00000000" w:rsidP="00000000" w:rsidRDefault="00000000" w:rsidRPr="00000000" w14:paraId="0000003A">
      <w:pPr>
        <w:keepNext w:val="1"/>
        <w:keepLines w:val="0"/>
        <w:widowControl w:val="1"/>
        <w:numPr>
          <w:ilvl w:val="2"/>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w:t>
      </w:r>
    </w:p>
    <w:p w:rsidR="00000000" w:rsidDel="00000000" w:rsidP="00000000" w:rsidRDefault="00000000" w:rsidRPr="00000000" w14:paraId="0000003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tenders submitted by the Supplier in relation to a Further Competition Procedure held pursuant to this Paragraph 3 shall remain open for acceptance by the Buyer for ninety (90) Working Days (or such other period specified in the invitation to tender issued by the Buyer in accordance with the Call-Off Procedure); and</w:t>
      </w:r>
    </w:p>
    <w:p w:rsidR="00000000" w:rsidDel="00000000" w:rsidP="00000000" w:rsidRDefault="00000000" w:rsidRPr="00000000" w14:paraId="0000003C">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rsidR="00000000" w:rsidDel="00000000" w:rsidP="00000000" w:rsidRDefault="00000000" w:rsidRPr="00000000" w14:paraId="0000003D">
      <w:pPr>
        <w:keepNext w:val="0"/>
        <w:keepLines w:val="0"/>
        <w:widowControl w:val="1"/>
        <w:numPr>
          <w:ilvl w:val="4"/>
          <w:numId w:val="1"/>
        </w:numPr>
        <w:pBdr>
          <w:top w:space="0" w:sz="0" w:val="nil"/>
          <w:left w:space="0" w:sz="0" w:val="nil"/>
          <w:bottom w:space="0" w:sz="0" w:val="nil"/>
          <w:right w:space="0" w:sz="0" w:val="nil"/>
          <w:between w:space="0" w:sz="0" w:val="nil"/>
        </w:pBdr>
        <w:shd w:fill="auto" w:val="clear"/>
        <w:tabs>
          <w:tab w:val="left" w:pos="6238"/>
        </w:tabs>
        <w:spacing w:after="120" w:before="120" w:line="240" w:lineRule="auto"/>
        <w:ind w:left="3119"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rsidR="00000000" w:rsidDel="00000000" w:rsidP="00000000" w:rsidRDefault="00000000" w:rsidRPr="00000000" w14:paraId="0000003E">
      <w:pPr>
        <w:keepNext w:val="0"/>
        <w:keepLines w:val="0"/>
        <w:widowControl w:val="1"/>
        <w:numPr>
          <w:ilvl w:val="4"/>
          <w:numId w:val="1"/>
        </w:numPr>
        <w:pBdr>
          <w:top w:space="0" w:sz="0" w:val="nil"/>
          <w:left w:space="0" w:sz="0" w:val="nil"/>
          <w:bottom w:space="0" w:sz="0" w:val="nil"/>
          <w:right w:space="0" w:sz="0" w:val="nil"/>
          <w:between w:space="0" w:sz="0" w:val="nil"/>
        </w:pBdr>
        <w:shd w:fill="auto" w:val="clear"/>
        <w:tabs>
          <w:tab w:val="left" w:pos="6238"/>
        </w:tabs>
        <w:spacing w:after="120" w:before="120" w:line="240" w:lineRule="auto"/>
        <w:ind w:left="3119"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 into any arrangement or agreement with any other person that he or the other person(s) shall refrain from submitting a tender or as to the amount of any tenders to be submitted.</w:t>
      </w:r>
      <w:r w:rsidDel="00000000" w:rsidR="00000000" w:rsidRPr="00000000">
        <w:rPr>
          <w:rtl w:val="0"/>
        </w:rPr>
      </w:r>
    </w:p>
    <w:p w:rsidR="00000000" w:rsidDel="00000000" w:rsidP="00000000" w:rsidRDefault="00000000" w:rsidRPr="00000000" w14:paraId="0000003F">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No requirement to award</w:t>
      </w:r>
      <w:r w:rsidDel="00000000" w:rsidR="00000000" w:rsidRPr="00000000">
        <w:rPr>
          <w:rtl w:val="0"/>
        </w:rPr>
      </w:r>
    </w:p>
    <w:p w:rsidR="00000000" w:rsidDel="00000000" w:rsidP="00000000" w:rsidRDefault="00000000" w:rsidRPr="00000000" w14:paraId="0000004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the fact that the Buyer has followed a procedure as set out above in Paragraph 2 or 3 (as applicable), the Supplier acknowledges and agrees that the Buyer shall be entitled at all times to decline to make an award for its Deliverables and that nothing in this Contract shall oblige the Buyer to award any Call-Off Contract.</w:t>
      </w:r>
    </w:p>
    <w:p w:rsidR="00000000" w:rsidDel="00000000" w:rsidP="00000000" w:rsidRDefault="00000000" w:rsidRPr="00000000" w14:paraId="00000041">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Who is responsible for the award</w:t>
      </w:r>
    </w:p>
    <w:p w:rsidR="00000000" w:rsidDel="00000000" w:rsidP="00000000" w:rsidRDefault="00000000" w:rsidRPr="00000000" w14:paraId="0000004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rsidR="00000000" w:rsidDel="00000000" w:rsidP="00000000" w:rsidRDefault="00000000" w:rsidRPr="00000000" w14:paraId="0000004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conduct of Buyer in relation to this Contract; or</w:t>
      </w:r>
    </w:p>
    <w:p w:rsidR="00000000" w:rsidDel="00000000" w:rsidP="00000000" w:rsidRDefault="00000000" w:rsidRPr="00000000" w14:paraId="0000004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performance or non-performance of any Call-Off Contracts between the Supplier and Buyer entered into pursuant to this Contract.</w:t>
      </w:r>
    </w:p>
    <w:p w:rsidR="00000000" w:rsidDel="00000000" w:rsidP="00000000" w:rsidRDefault="00000000" w:rsidRPr="00000000" w14:paraId="00000045">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Awarding and creating a Call-Off Contract</w:t>
      </w:r>
      <w:r w:rsidDel="00000000" w:rsidR="00000000" w:rsidRPr="00000000">
        <w:rPr>
          <w:rtl w:val="0"/>
        </w:rPr>
      </w:r>
    </w:p>
    <w:p w:rsidR="00000000" w:rsidDel="00000000" w:rsidP="00000000" w:rsidRDefault="00000000" w:rsidRPr="00000000" w14:paraId="0000004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1 to 5 above and 7, a Buyer may award a Call-Off Contract with the Supplier by sending (including electronically) a signed order form substantially in the form (as may be amended or refined by the Buyer in accordance with Paragraph 3.1.2 above) of the Order Form Template set out in Framework Schedule 6 (Order Form Template and Call-Off Schedules).</w:t>
      </w:r>
    </w:p>
    <w:p w:rsidR="00000000" w:rsidDel="00000000" w:rsidP="00000000" w:rsidRDefault="00000000" w:rsidRPr="00000000" w14:paraId="00000047">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any document or communication (including any document or communication in the apparent form of a Call-Off Contract) which is not as described in this Paragraph 6 shall not constitute a Call-Off Contract under this Contract.</w:t>
      </w:r>
    </w:p>
    <w:p w:rsidR="00000000" w:rsidDel="00000000" w:rsidP="00000000" w:rsidRDefault="00000000" w:rsidRPr="00000000" w14:paraId="0000004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receipt of an order form as described in Paragraph 6.1 from a Buyer the Supplier shall accept the Call-Off Contract by promptly signing and returning (including by electronic means) a copy of the order form to the Buyer concerned.</w:t>
      </w:r>
    </w:p>
    <w:p w:rsidR="00000000" w:rsidDel="00000000" w:rsidP="00000000" w:rsidRDefault="00000000" w:rsidRPr="00000000" w14:paraId="00000049">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receipt of the countersigned Order Form from the Supplier, the Buyer shall send (including by electronic means) a written notice of receipt to the Supplier within two (2) Working Days and the Call Off Contract shall be formed with effect from the Call Off Start Date stated in the Order Form.</w:t>
      </w:r>
    </w:p>
    <w:p w:rsidR="00000000" w:rsidDel="00000000" w:rsidP="00000000" w:rsidRDefault="00000000" w:rsidRPr="00000000" w14:paraId="0000004A">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t>
      </w:r>
      <w:r w:rsidDel="00000000" w:rsidR="00000000" w:rsidRPr="00000000">
        <w:rPr>
          <w:rFonts w:ascii="Arial Bold" w:cs="Arial Bold" w:eastAsia="Arial Bold" w:hAnsi="Arial Bold"/>
          <w:b w:val="1"/>
          <w:i w:val="0"/>
          <w:smallCaps w:val="0"/>
          <w:strike w:val="0"/>
          <w:color w:val="000000"/>
          <w:sz w:val="24"/>
          <w:szCs w:val="24"/>
          <w:highlight w:val="yellow"/>
          <w:u w:val="none"/>
          <w:vertAlign w:val="baseline"/>
          <w:rtl w:val="0"/>
        </w:rPr>
        <w:t xml:space="preserve">Guidance:</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this Paragraph if the buyer has the option of using a reverse auction at call-off. </w:t>
      </w:r>
      <w:r w:rsidDel="00000000" w:rsidR="00000000" w:rsidRPr="00000000">
        <w:rPr>
          <w:rtl w:val="0"/>
        </w:rPr>
      </w:r>
    </w:p>
    <w:p w:rsidR="00000000" w:rsidDel="00000000" w:rsidP="00000000" w:rsidRDefault="00000000" w:rsidRPr="00000000" w14:paraId="0000004B">
      <w:pPr>
        <w:keepNext w:val="1"/>
        <w:keepLines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firstLine="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e-auctions work</w:t>
      </w:r>
      <w:r w:rsidDel="00000000" w:rsidR="00000000" w:rsidRPr="00000000">
        <w:rPr>
          <w:rtl w:val="0"/>
        </w:rPr>
      </w:r>
    </w:p>
    <w:p w:rsidR="00000000" w:rsidDel="00000000" w:rsidP="00000000" w:rsidRDefault="00000000" w:rsidRPr="00000000" w14:paraId="0000004C">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to include a reverse auction in the Further Competition Procedure in accordance with the rules laid down by the Buyer and the Regulations.</w:t>
      </w:r>
    </w:p>
    <w:p w:rsidR="00000000" w:rsidDel="00000000" w:rsidP="00000000" w:rsidRDefault="00000000" w:rsidRPr="00000000" w14:paraId="0000004D">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wishes to undertake an electronic reverse auction, where Suppliers compete in real time by bidding as the auction unfolds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"Electronic Reverse Auction"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then before undertaking it, the Buyer will make an initial full evaluation of all tenders received in response to its Statement of Requirements. The Buyer will then invite to the Electronic Reverse Auction only those tenders that are admissible in accordance with the Regulations. The invitation shall be accompanied by the outcome of the full initial evaluation of the relevant tenders.</w:t>
      </w:r>
    </w:p>
    <w:p w:rsidR="00000000" w:rsidDel="00000000" w:rsidP="00000000" w:rsidRDefault="00000000" w:rsidRPr="00000000" w14:paraId="0000004E">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inform the Suppliers of the specification for the Electronic Reverse Auction which shall include:</w:t>
      </w:r>
    </w:p>
    <w:p w:rsidR="00000000" w:rsidDel="00000000" w:rsidP="00000000" w:rsidRDefault="00000000" w:rsidRPr="00000000" w14:paraId="0000004F">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information to be provided at auction, which must be expressed in figures or percentages of the specified quantifiable features;</w:t>
      </w:r>
    </w:p>
    <w:p w:rsidR="00000000" w:rsidDel="00000000" w:rsidP="00000000" w:rsidRDefault="00000000" w:rsidRPr="00000000" w14:paraId="00000050">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mathematical formula to be used to determine automatic ranking of bids on the basis of new prices and/or new values submitted;  </w:t>
      </w:r>
    </w:p>
    <w:p w:rsidR="00000000" w:rsidDel="00000000" w:rsidP="00000000" w:rsidRDefault="00000000" w:rsidRPr="00000000" w14:paraId="00000051">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limits on the values which may be submitted;</w:t>
      </w:r>
    </w:p>
    <w:p w:rsidR="00000000" w:rsidDel="00000000" w:rsidP="00000000" w:rsidRDefault="00000000" w:rsidRPr="00000000" w14:paraId="00000052">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any information which will be made available to Suppliers in the course of the Electronic Reverse Auction, and when it will be made available to them;</w:t>
      </w:r>
    </w:p>
    <w:p w:rsidR="00000000" w:rsidDel="00000000" w:rsidP="00000000" w:rsidRDefault="00000000" w:rsidRPr="00000000" w14:paraId="00000053">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conditions under which Suppliers will be able to bid and, in particular, the minimum differences which will, where appropriate, be required when bidding;</w:t>
      </w:r>
    </w:p>
    <w:p w:rsidR="00000000" w:rsidDel="00000000" w:rsidP="00000000" w:rsidRDefault="00000000" w:rsidRPr="00000000" w14:paraId="00000054">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relevant information concerning the electronic equipment used and the arrangements and technical specification for connection;</w:t>
      </w:r>
    </w:p>
    <w:p w:rsidR="00000000" w:rsidDel="00000000" w:rsidP="00000000" w:rsidRDefault="00000000" w:rsidRPr="00000000" w14:paraId="00000055">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Paragraph 7.5</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date and time of the start of the Electronic Reverse Auction; and</w:t>
      </w:r>
    </w:p>
    <w:p w:rsidR="00000000" w:rsidDel="00000000" w:rsidP="00000000" w:rsidRDefault="00000000" w:rsidRPr="00000000" w14:paraId="00000056">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when and how the Electronic Reverse Auction will close.</w:t>
      </w:r>
    </w:p>
    <w:p w:rsidR="00000000" w:rsidDel="00000000" w:rsidP="00000000" w:rsidRDefault="00000000" w:rsidRPr="00000000" w14:paraId="00000057">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Electronic Reverse Auction may not start sooner than two (2) Working Days after the date on which the specification for the Electronic Reverse Auction has been issued.</w:t>
      </w:r>
    </w:p>
    <w:p w:rsidR="00000000" w:rsidDel="00000000" w:rsidP="00000000" w:rsidRDefault="00000000" w:rsidRPr="00000000" w14:paraId="0000005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each phase of the Electronic Reverse Auction the Buyer will communicate to all Suppliers sufficient information to enable them to ascertain their relative ranking.</w:t>
      </w:r>
    </w:p>
    <w:p w:rsidR="00000000" w:rsidDel="00000000" w:rsidP="00000000" w:rsidRDefault="00000000" w:rsidRPr="00000000" w14:paraId="00000059">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and agrees that:</w:t>
      </w:r>
    </w:p>
    <w:p w:rsidR="00000000" w:rsidDel="00000000" w:rsidP="00000000" w:rsidRDefault="00000000" w:rsidRPr="00000000" w14:paraId="0000005A">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its officers, servants, agents, group companies, assignees and customers (including CCS) do not guarantee that its access to the Electronic Reverse Auction will be uninterrupted or error-free;</w:t>
      </w:r>
    </w:p>
    <w:p w:rsidR="00000000" w:rsidDel="00000000" w:rsidP="00000000" w:rsidRDefault="00000000" w:rsidRPr="00000000" w14:paraId="0000005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its access to the Electronic Reverse Auction may occasionally be restricted to allow for repairs or maintenance; and</w:t>
      </w:r>
    </w:p>
    <w:p w:rsidR="00000000" w:rsidDel="00000000" w:rsidP="00000000" w:rsidRDefault="00000000" w:rsidRPr="00000000" w14:paraId="0000005C">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will comply with all such rules that may be imposed by the Buyer in relation to the operation of the Electronic Reverse Auction.</w:t>
      </w:r>
    </w:p>
    <w:p w:rsidR="00000000" w:rsidDel="00000000" w:rsidP="00000000" w:rsidRDefault="00000000" w:rsidRPr="00000000" w14:paraId="0000005D">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close the Electronic Reverse Auction on the basis of:</w:t>
      </w:r>
    </w:p>
    <w:p w:rsidR="00000000" w:rsidDel="00000000" w:rsidP="00000000" w:rsidRDefault="00000000" w:rsidRPr="00000000" w14:paraId="0000005E">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date and time fixed in advance;</w:t>
      </w:r>
    </w:p>
    <w:p w:rsidR="00000000" w:rsidDel="00000000" w:rsidP="00000000" w:rsidRDefault="00000000" w:rsidRPr="00000000" w14:paraId="0000005F">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no new prices or values meeting the minimum differences required pursuant to Paragraph 7.3 have been received within the prescribed elapsed time period; or</w:t>
      </w:r>
    </w:p>
    <w:p w:rsidR="00000000" w:rsidDel="00000000" w:rsidP="00000000" w:rsidRDefault="00000000" w:rsidRPr="00000000" w14:paraId="0000006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all the phases have been completed.]</w:t>
      </w:r>
    </w:p>
    <w:p w:rsidR="00000000" w:rsidDel="00000000" w:rsidP="00000000" w:rsidRDefault="00000000" w:rsidRPr="00000000" w14:paraId="00000061">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Awarding and creating an Exempt Call-off Contract</w:t>
      </w:r>
    </w:p>
    <w:p w:rsidR="00000000" w:rsidDel="00000000" w:rsidP="00000000" w:rsidRDefault="00000000" w:rsidRPr="00000000" w14:paraId="00000062">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Paragraph 1 above shall not apply to an Exempt Buyer.</w:t>
      </w:r>
    </w:p>
    <w:p w:rsidR="00000000" w:rsidDel="00000000" w:rsidP="00000000" w:rsidRDefault="00000000" w:rsidRPr="00000000" w14:paraId="00000063">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If a potential Exempt Buyer decides to source Deliverables through this Framework Contract, it will award an Exempt Call-off Contract for Deliverables in accordance with the procedure in this Schedule as modified by this Paragraph 8 and in accordance with any legal requirements applicable to that potential Exempt Buyer.</w:t>
      </w:r>
    </w:p>
    <w:p w:rsidR="00000000" w:rsidDel="00000000" w:rsidP="00000000" w:rsidRDefault="00000000" w:rsidRPr="00000000" w14:paraId="00000064">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potential Exempt Buyer may award an Exempt Call-off Contract under this Framework Contract without holding a further competition in accordance with Paragraph 2 above as modified by Paragraph 8.4 below or through a Further Competition Procedure in accordance with Paragraph 3 as modified by Paragraph 8.5 below.</w:t>
      </w:r>
    </w:p>
    <w:p w:rsidR="00000000" w:rsidDel="00000000" w:rsidP="00000000" w:rsidRDefault="00000000" w:rsidRPr="00000000" w14:paraId="00000065">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the procedure set out in Paragraph 2 above, if the potential Exempt Buyer can determine that:</w:t>
      </w:r>
    </w:p>
    <w:p w:rsidR="00000000" w:rsidDel="00000000" w:rsidP="00000000" w:rsidRDefault="00000000" w:rsidRPr="00000000" w14:paraId="0000006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its Deliverables can be met by the Supplier’s catalogues and description of the Deliverables as set out in Framework Schedule 1 (Specification) and Framework Schedule 2 (Framework Tender); and</w:t>
      </w:r>
    </w:p>
    <w:p w:rsidR="00000000" w:rsidDel="00000000" w:rsidP="00000000" w:rsidRDefault="00000000" w:rsidRPr="00000000" w14:paraId="0000006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accept any required Exempt Procurement Amendments,</w:t>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tabs>
          <w:tab w:val="left" w:pos="3641"/>
        </w:tabs>
        <w:spacing w:after="120" w:before="120" w:line="240" w:lineRule="auto"/>
        <w:ind w:left="189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then the Exempt Buyer may award an Exempt Call-off Contract to that Supplier in accordance with Paragraph 6 above.</w:t>
      </w:r>
    </w:p>
    <w:p w:rsidR="00000000" w:rsidDel="00000000" w:rsidP="00000000" w:rsidRDefault="00000000" w:rsidRPr="00000000" w14:paraId="00000069">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potential Exempt Buyer requires the Supplier to develop proposals or a solution in respect of Deliverables, then the potential Exempt Buyer may at its discretion use the procedure set out in Paragraph 3 above as modified by this Paragraph 8.5. In that case, references to “the Regulations” in Paragraph 3 above shall be read as references to “any legal requirements applicable to that potential Exempt Buyer”, and the Exempt Buyer shall be permitted to modify the Further Competition Procedure in accordance with any legal requirements applicable to the Exempt Buyer.</w:t>
      </w:r>
    </w:p>
    <w:p w:rsidR="00000000" w:rsidDel="00000000" w:rsidP="00000000" w:rsidRDefault="00000000" w:rsidRPr="00000000" w14:paraId="0000006A">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Paragraphs 8.1 to 8.5 above are without prejudice to an Exempt Buyer’s ability to make such further modifications to the Call-Off Procedure as it considers necessary and in accordance with any legal requirements applicable to that potential Exempt Buyer.</w:t>
      </w:r>
    </w:p>
    <w:p w:rsidR="00000000" w:rsidDel="00000000" w:rsidP="00000000" w:rsidRDefault="00000000" w:rsidRPr="00000000" w14:paraId="0000006B">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tabs>
          <w:tab w:val="left" w:pos="305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tabs>
          <w:tab w:val="left" w:pos="3054"/>
        </w:tabs>
        <w:spacing w:after="120" w:before="120" w:line="240" w:lineRule="auto"/>
        <w:ind w:left="936" w:right="0" w:hanging="576"/>
        <w:jc w:val="left"/>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2: Award Criteria</w:t>
      </w:r>
      <w:r w:rsidDel="00000000" w:rsidR="00000000" w:rsidRPr="00000000">
        <w:rPr>
          <w:rtl w:val="0"/>
        </w:rPr>
      </w:r>
    </w:p>
    <w:p w:rsidR="00000000" w:rsidDel="00000000" w:rsidP="00000000" w:rsidRDefault="00000000" w:rsidRPr="00000000" w14:paraId="0000006E">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Part 2 lays out award criteria for direct award (Annex A) and for further competition (Annex B) in accordance with the Call-Off Procedure.</w:t>
      </w:r>
    </w:p>
    <w:p w:rsidR="00000000" w:rsidDel="00000000" w:rsidP="00000000" w:rsidRDefault="00000000" w:rsidRPr="00000000" w14:paraId="0000006F">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Call-Off Contract may be awarded on the basis of most economically advantageous tender ("MEAT").</w:t>
      </w:r>
    </w:p>
    <w:p w:rsidR="00000000" w:rsidDel="00000000" w:rsidP="00000000" w:rsidRDefault="00000000" w:rsidRPr="00000000" w14:paraId="00000070">
      <w:pPr>
        <w:rPr>
          <w:rFonts w:ascii="Arial" w:cs="Arial" w:eastAsia="Arial" w:hAnsi="Arial"/>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71">
      <w:pPr>
        <w:keepNext w:val="1"/>
        <w:keepLines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426"/>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Direct award criteria</w:t>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criteria and weightings shall apply to the evaluation for direct award of each Call-Off.</w:t>
      </w:r>
    </w:p>
    <w:tbl>
      <w:tblPr>
        <w:tblStyle w:val="Table1"/>
        <w:tblW w:w="9214.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44"/>
        <w:gridCol w:w="5670"/>
        <w:tblGridChange w:id="0">
          <w:tblGrid>
            <w:gridCol w:w="3544"/>
            <w:gridCol w:w="5670"/>
          </w:tblGrid>
        </w:tblGridChange>
      </w:tblGrid>
      <w:tr>
        <w:tc>
          <w:tcPr>
            <w:shd w:fill="e7e6e6" w:val="clear"/>
          </w:tcPr>
          <w:p w:rsidR="00000000" w:rsidDel="00000000" w:rsidP="00000000" w:rsidRDefault="00000000" w:rsidRPr="00000000" w14:paraId="00000073">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Criteria </w:t>
            </w:r>
          </w:p>
        </w:tc>
        <w:tc>
          <w:tcPr>
            <w:shd w:fill="e7e6e6" w:val="clear"/>
          </w:tcPr>
          <w:p w:rsidR="00000000" w:rsidDel="00000000" w:rsidP="00000000" w:rsidRDefault="00000000" w:rsidRPr="00000000" w14:paraId="00000074">
            <w:pPr>
              <w:widowControl w:val="1"/>
              <w:spacing w:after="200" w:before="120" w:line="276"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Relative weighting percentage </w:t>
            </w:r>
          </w:p>
          <w:p w:rsidR="00000000" w:rsidDel="00000000" w:rsidP="00000000" w:rsidRDefault="00000000" w:rsidRPr="00000000" w14:paraId="00000075">
            <w:pPr>
              <w:widowControl w:val="1"/>
              <w:spacing w:after="200" w:line="276"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sz w:val="24"/>
                <w:szCs w:val="24"/>
                <w:rtl w:val="0"/>
              </w:rPr>
              <w:t xml:space="preserve"> where weighting is not possible for objective reasons, list the criteria in decreasing order of importance, amend the column heading to read 'Rank order of importance where 1 = most important, 2 = second most important etc.'. The figure 1 must be in the top row, running down to the least important in the bottom row.]</w:t>
            </w:r>
            <w:r w:rsidDel="00000000" w:rsidR="00000000" w:rsidRPr="00000000">
              <w:rPr>
                <w:rtl w:val="0"/>
              </w:rPr>
            </w:r>
          </w:p>
        </w:tc>
      </w:tr>
      <w:tr>
        <w:tc>
          <w:tcPr>
            <w:gridSpan w:val="2"/>
          </w:tcPr>
          <w:p w:rsidR="00000000" w:rsidDel="00000000" w:rsidP="00000000" w:rsidRDefault="00000000" w:rsidRPr="00000000" w14:paraId="00000076">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280" w:before="120" w:line="259" w:lineRule="auto"/>
              <w:ind w:left="176" w:right="0" w:hanging="720"/>
              <w:jc w:val="left"/>
              <w:rPr>
                <w:rFonts w:ascii="Arial" w:cs="Arial" w:eastAsia="Arial" w:hAnsi="Arial"/>
                <w:b w:val="0"/>
                <w:i w:val="0"/>
                <w:smallCaps w:val="0"/>
                <w:strike w:val="0"/>
                <w:color w:val="000000"/>
                <w:sz w:val="22"/>
                <w:szCs w:val="22"/>
                <w:highlight w:val="white"/>
                <w:u w:val="none"/>
                <w:vertAlign w:val="baselin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Value for money: e.g. the Buyer believes that the Supplier provides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demonstrable value for money, which may include but is not limited to:</w:t>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76" w:right="0" w:hanging="360"/>
              <w:jc w:val="left"/>
              <w:rPr>
                <w:rFonts w:ascii="Arial" w:cs="Arial" w:eastAsia="Arial" w:hAnsi="Arial"/>
                <w:b w:val="0"/>
                <w:i w:val="0"/>
                <w:smallCaps w:val="0"/>
                <w:strike w:val="0"/>
                <w:color w:val="000000"/>
                <w:sz w:val="22"/>
                <w:szCs w:val="22"/>
                <w:highlight w:val="white"/>
                <w:u w:val="none"/>
                <w:vertAlign w:val="baselin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 Cost effectiveness;</w:t>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76" w:right="0" w:hanging="360"/>
              <w:jc w:val="left"/>
              <w:rPr>
                <w:rFonts w:ascii="Arial" w:cs="Arial" w:eastAsia="Arial" w:hAnsi="Arial"/>
                <w:b w:val="0"/>
                <w:i w:val="0"/>
                <w:smallCaps w:val="0"/>
                <w:strike w:val="0"/>
                <w:color w:val="000000"/>
                <w:sz w:val="22"/>
                <w:szCs w:val="22"/>
                <w:highlight w:val="white"/>
                <w:u w:val="none"/>
                <w:vertAlign w:val="baselin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 Price; and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br w:type="textWrapping"/>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 Quality.</w:t>
            </w:r>
          </w:p>
        </w:tc>
      </w:tr>
    </w:tbl>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i w:val="0"/>
          <w:smallCaps w:val="0"/>
          <w:strike w:val="0"/>
          <w:color w:val="ffffff"/>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C">
      <w:pPr>
        <w:keepNext w:val="1"/>
        <w:keepLines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B: Further Competition Award Criteria</w:t>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criteria and weightings shall apply to the evaluation of tenders received through the Further Competition Procedure:</w:t>
      </w:r>
    </w:p>
    <w:tbl>
      <w:tblPr>
        <w:tblStyle w:val="Table2"/>
        <w:tblW w:w="847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71"/>
        <w:gridCol w:w="4154"/>
        <w:gridCol w:w="3051"/>
        <w:tblGridChange w:id="0">
          <w:tblGrid>
            <w:gridCol w:w="1271"/>
            <w:gridCol w:w="4154"/>
            <w:gridCol w:w="3051"/>
          </w:tblGrid>
        </w:tblGridChange>
      </w:tblGrid>
      <w:tr>
        <w:tc>
          <w:tcPr>
            <w:shd w:fill="e7e6e6" w:val="clear"/>
          </w:tcPr>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120" w:before="12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Criteria</w:t>
            </w:r>
            <w:r w:rsidDel="00000000" w:rsidR="00000000" w:rsidRPr="00000000">
              <w:rPr>
                <w:rtl w:val="0"/>
              </w:rPr>
            </w:r>
          </w:p>
        </w:tc>
        <w:tc>
          <w:tcPr>
            <w:shd w:fill="e7e6e6" w:val="clear"/>
          </w:tcPr>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120" w:before="120" w:line="24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Percentage Weightings (or rank order of importance where applicable) - to be set by the Customer conducting the Further Competition Procedure</w:t>
            </w:r>
          </w:p>
        </w:tc>
        <w:tc>
          <w:tcPr>
            <w:shd w:fill="e7e6e6" w:val="clear"/>
          </w:tcPr>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Allowable Variance </w:t>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(This may be modified by the Customer within the range below)</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tl w:val="0"/>
              </w:rPr>
            </w:r>
          </w:p>
        </w:tc>
      </w:tr>
      <w:tr>
        <w:tc>
          <w:tcPr/>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Quality </w:t>
            </w:r>
          </w:p>
        </w:tc>
        <w:tc>
          <w:tcPr/>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50%</w:t>
            </w:r>
          </w:p>
        </w:tc>
        <w:tc>
          <w:tcPr/>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+ 40% (50% to 90%) </w:t>
            </w:r>
          </w:p>
        </w:tc>
      </w:tr>
      <w:tr>
        <w:tc>
          <w:tcPr/>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Price </w:t>
            </w:r>
          </w:p>
        </w:tc>
        <w:tc>
          <w:tcPr/>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50%</w:t>
            </w:r>
          </w:p>
        </w:tc>
        <w:tc>
          <w:tcPr/>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- 40% (10% to 50%) </w:t>
            </w:r>
          </w:p>
        </w:tc>
      </w:tr>
    </w:tbl>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ffffff"/>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ffffff"/>
          <w:sz w:val="24"/>
          <w:szCs w:val="24"/>
          <w:u w:val="none"/>
          <w:shd w:fill="auto" w:val="clear"/>
          <w:vertAlign w:val="baseline"/>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3">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r>
  </w:p>
  <w:p w:rsidR="00000000" w:rsidDel="00000000" w:rsidP="00000000" w:rsidRDefault="00000000" w:rsidRPr="00000000" w14:paraId="00000094">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5">
    <w:pPr>
      <w:tabs>
        <w:tab w:val="left" w:pos="720"/>
        <w:tab w:val="left" w:pos="1440"/>
        <w:tab w:val="left" w:pos="2160"/>
        <w:tab w:val="left" w:pos="2880"/>
        <w:tab w:val="left" w:pos="3600"/>
        <w:tab w:val="center" w:pos="4513"/>
      </w:tabs>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6">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8">
    <w:pPr>
      <w:tabs>
        <w:tab w:val="left" w:pos="720"/>
        <w:tab w:val="left" w:pos="1440"/>
        <w:tab w:val="left" w:pos="2160"/>
        <w:tab w:val="left" w:pos="2880"/>
        <w:tab w:val="left" w:pos="3600"/>
        <w:tab w:val="center" w:pos="4513"/>
      </w:tabs>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v3.2</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Framework Schedule 7 (Call-Off Award Procedure)</w:t>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2018</w:t>
    </w:r>
  </w:p>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7 (Call-Off Award Procedure)</w:t>
    </w:r>
  </w:p>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rPr/>
    </w:lvl>
    <w:lvl w:ilvl="7">
      <w:start w:val="1"/>
      <w:numFmt w:val="decimal"/>
      <w:lvlText w:val="%1.%2.%3.%4.%5.%6.%7.%8"/>
      <w:lvlJc w:val="left"/>
      <w:pPr>
        <w:ind w:left="2520" w:hanging="1440"/>
      </w:pPr>
      <w:rPr/>
    </w:lvl>
    <w:lvl w:ilvl="8">
      <w:start w:val="1"/>
      <w:numFmt w:val="decimal"/>
      <w:lvlText w:val="%1.%2.%3.%4.%5.%6.%7.%8.%9"/>
      <w:lvlJc w:val="left"/>
      <w:pPr>
        <w:ind w:left="288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uiPriority w:val="9"/>
    <w:qFormat w:val="1"/>
    <w:rsid w:val="00532FDD"/>
    <w:pPr>
      <w:keepNext w:val="1"/>
      <w:keepLines w:val="1"/>
      <w:spacing w:before="240"/>
      <w:outlineLvl w:val="0"/>
    </w:pPr>
    <w:rPr>
      <w:rFonts w:asciiTheme="majorHAnsi" w:cstheme="majorBidi" w:eastAsiaTheme="majorEastAsia" w:hAnsiTheme="majorHAnsi"/>
      <w:color w:val="2f5496" w:themeColor="accent1" w:themeShade="0000BF"/>
      <w:sz w:val="32"/>
      <w:szCs w:val="3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Standard" w:customStyle="1">
    <w:name w:val="Standard"/>
    <w:pPr>
      <w:widowControl w:val="1"/>
      <w:spacing w:after="240"/>
      <w:jc w:val="both"/>
    </w:pPr>
    <w:rPr>
      <w:rFonts w:cs="Arial" w:eastAsia="Times New Roman"/>
    </w:rPr>
  </w:style>
  <w:style w:type="paragraph" w:styleId="Heading" w:customStyle="1">
    <w:name w:val="Heading"/>
    <w:basedOn w:val="Standard"/>
    <w:next w:val="Textbody"/>
    <w:pPr>
      <w:keepNext w:val="1"/>
      <w:spacing w:after="120" w:before="240"/>
    </w:pPr>
    <w:rPr>
      <w:rFonts w:ascii="Liberation Sans" w:cs="Arial Unicode MS" w:eastAsia="Arial Unicode MS" w:hAnsi="Liberation Sans"/>
      <w:sz w:val="28"/>
      <w:szCs w:val="28"/>
    </w:rPr>
  </w:style>
  <w:style w:type="paragraph" w:styleId="Textbody" w:customStyle="1">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val="1"/>
      <w:spacing w:after="120" w:before="120"/>
    </w:pPr>
    <w:rPr>
      <w:i w:val="1"/>
      <w:iCs w:val="1"/>
      <w:sz w:val="24"/>
      <w:szCs w:val="24"/>
    </w:rPr>
  </w:style>
  <w:style w:type="paragraph" w:styleId="Index" w:customStyle="1">
    <w:name w:val="Index"/>
    <w:basedOn w:val="Standard"/>
    <w:pPr>
      <w:suppressLineNumbers w:val="1"/>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styleId="MarginText" w:customStyle="1">
    <w:name w:val="Margin Text"/>
    <w:basedOn w:val="Standard"/>
    <w:pPr>
      <w:keepNext w:val="1"/>
      <w:overflowPunct w:val="0"/>
      <w:spacing w:after="120" w:before="240"/>
      <w:ind w:left="142"/>
      <w:textAlignment w:val="auto"/>
    </w:pPr>
    <w:rPr>
      <w:rFonts w:cs="Times New Roman" w:eastAsia="STZhongsong"/>
      <w:szCs w:val="18"/>
      <w:lang w:eastAsia="zh-CN"/>
    </w:rPr>
  </w:style>
  <w:style w:type="paragraph" w:styleId="GPSL1CLAUSEHEADING" w:customStyle="1">
    <w:name w:val="GPS L1 CLAUSE HEADING"/>
    <w:basedOn w:val="Standard"/>
    <w:next w:val="Standard"/>
    <w:pPr>
      <w:tabs>
        <w:tab w:val="left" w:pos="142"/>
      </w:tabs>
      <w:overflowPunct w:val="0"/>
      <w:spacing w:before="120"/>
      <w:textAlignment w:val="auto"/>
      <w:outlineLvl w:val="1"/>
    </w:pPr>
    <w:rPr>
      <w:rFonts w:eastAsia="STZhongsong"/>
      <w:b w:val="1"/>
      <w:caps w:val="1"/>
      <w:lang w:eastAsia="zh-CN"/>
    </w:rPr>
  </w:style>
  <w:style w:type="paragraph" w:styleId="GPSL3numberedclause" w:customStyle="1">
    <w:name w:val="GPS L3 numbered clause"/>
    <w:basedOn w:val="Standard"/>
    <w:pPr>
      <w:tabs>
        <w:tab w:val="left" w:pos="3641"/>
      </w:tabs>
      <w:overflowPunct w:val="0"/>
      <w:spacing w:after="120" w:before="120"/>
      <w:ind w:left="1656"/>
      <w:textAlignment w:val="auto"/>
    </w:pPr>
    <w:rPr>
      <w:lang w:eastAsia="zh-CN"/>
    </w:rPr>
  </w:style>
  <w:style w:type="paragraph" w:styleId="GPSL4numberedclause" w:customStyle="1">
    <w:name w:val="GPS L4 numbered clause"/>
    <w:basedOn w:val="GPSL3numberedclause"/>
    <w:pPr>
      <w:tabs>
        <w:tab w:val="clear" w:pos="3641"/>
      </w:tabs>
      <w:ind w:left="2592" w:hanging="936"/>
    </w:pPr>
  </w:style>
  <w:style w:type="paragraph" w:styleId="GPSL5numberedclause" w:customStyle="1">
    <w:name w:val="GPS L5 numbered clause"/>
    <w:basedOn w:val="GPSL4numberedclause"/>
    <w:pPr>
      <w:tabs>
        <w:tab w:val="left" w:pos="6238"/>
      </w:tabs>
      <w:ind w:left="3119" w:hanging="567"/>
    </w:pPr>
  </w:style>
  <w:style w:type="paragraph" w:styleId="GPSL2NumberedBoldHeading" w:customStyle="1">
    <w:name w:val="GPS L2 Numbered Bold Heading"/>
    <w:basedOn w:val="Standard"/>
    <w:pPr>
      <w:tabs>
        <w:tab w:val="left" w:pos="3054"/>
      </w:tabs>
      <w:overflowPunct w:val="0"/>
      <w:spacing w:after="120" w:before="120"/>
      <w:ind w:left="1920"/>
      <w:textAlignment w:val="auto"/>
    </w:pPr>
    <w:rPr>
      <w:b w:val="1"/>
      <w:lang w:eastAsia="zh-CN"/>
    </w:rPr>
  </w:style>
  <w:style w:type="paragraph" w:styleId="GPSL6numbered" w:customStyle="1">
    <w:name w:val="GPS L6 numbered"/>
    <w:basedOn w:val="GPSL5numberedclause"/>
    <w:pPr>
      <w:tabs>
        <w:tab w:val="clear" w:pos="6238"/>
        <w:tab w:val="left" w:pos="4046"/>
        <w:tab w:val="left" w:pos="7372"/>
      </w:tabs>
      <w:ind w:left="3686"/>
    </w:pPr>
  </w:style>
  <w:style w:type="paragraph" w:styleId="GPSL1Guidance" w:customStyle="1">
    <w:name w:val="GPS L1 Guidance"/>
    <w:basedOn w:val="Standard"/>
    <w:pPr>
      <w:spacing w:after="120" w:before="240"/>
      <w:ind w:left="426"/>
    </w:pPr>
    <w:rPr>
      <w:b w:val="1"/>
      <w:i w:val="1"/>
    </w:rPr>
  </w:style>
  <w:style w:type="paragraph" w:styleId="GPSL1SCHEDULEHeading" w:customStyle="1">
    <w:name w:val="GPS L1 SCHEDULE Heading"/>
    <w:basedOn w:val="GPSL1CLAUSEHEADING"/>
    <w:pPr>
      <w:tabs>
        <w:tab w:val="clear" w:pos="142"/>
      </w:tabs>
    </w:pPr>
  </w:style>
  <w:style w:type="paragraph" w:styleId="GPSmacrorestart" w:customStyle="1">
    <w:name w:val="GPS macro restart"/>
    <w:basedOn w:val="Standard"/>
    <w:qFormat w:val="1"/>
    <w:pPr>
      <w:spacing w:after="0"/>
    </w:pPr>
    <w:rPr>
      <w:color w:val="ffffff"/>
      <w:sz w:val="16"/>
      <w:szCs w:val="16"/>
    </w:rPr>
  </w:style>
  <w:style w:type="paragraph" w:styleId="GPSSchTitleandNumber" w:customStyle="1">
    <w:name w:val="GPS Sch Title and Number"/>
    <w:basedOn w:val="Standard"/>
    <w:pPr>
      <w:keepNext w:val="1"/>
      <w:overflowPunct w:val="0"/>
      <w:ind w:firstLine="426"/>
      <w:jc w:val="center"/>
      <w:textAlignment w:val="auto"/>
      <w:outlineLvl w:val="0"/>
    </w:pPr>
    <w:rPr>
      <w:rFonts w:ascii="Arial Bold" w:cs="Times New Roman" w:eastAsia="STZhongsong" w:hAnsi="Arial Bold"/>
      <w:b w:val="1"/>
      <w:caps w:val="1"/>
      <w:lang w:eastAsia="zh-CN"/>
    </w:rPr>
  </w:style>
  <w:style w:type="paragraph" w:styleId="GPSSchPart" w:customStyle="1">
    <w:name w:val="GPS Sch Part"/>
    <w:basedOn w:val="Standard"/>
    <w:qFormat w:val="1"/>
    <w:pPr>
      <w:keepNext w:val="1"/>
      <w:overflowPunct w:val="0"/>
      <w:spacing w:before="240"/>
      <w:ind w:firstLine="426"/>
      <w:jc w:val="center"/>
      <w:textAlignment w:val="auto"/>
    </w:pPr>
    <w:rPr>
      <w:rFonts w:ascii="Arial Bold" w:cs="Times New Roman" w:eastAsia="STZhongsong" w:hAnsi="Arial Bold"/>
      <w:b w:val="1"/>
      <w:caps w:val="1"/>
      <w:lang w:eastAsia="zh-CN"/>
    </w:rPr>
  </w:style>
  <w:style w:type="paragraph" w:styleId="GPSL2Numbered" w:customStyle="1">
    <w:name w:val="GPS L2 Numbered"/>
    <w:basedOn w:val="GPSL2NumberedBoldHeading"/>
    <w:pPr>
      <w:tabs>
        <w:tab w:val="clear" w:pos="3054"/>
      </w:tabs>
      <w:ind w:left="936" w:hanging="576"/>
    </w:pPr>
    <w:rPr>
      <w:b w:val="0"/>
    </w:rPr>
  </w:style>
  <w:style w:type="paragraph" w:styleId="GPSL1Schedulenumbered" w:customStyle="1">
    <w:name w:val="GPS L1 Schedule numbered"/>
    <w:basedOn w:val="Standard"/>
    <w:qFormat w:val="1"/>
    <w:pPr>
      <w:tabs>
        <w:tab w:val="left" w:pos="851"/>
      </w:tabs>
    </w:pPr>
  </w:style>
  <w:style w:type="paragraph" w:styleId="BalloonText">
    <w:name w:val="Balloon Text"/>
    <w:basedOn w:val="Standard"/>
    <w:pPr>
      <w:spacing w:after="0"/>
    </w:pPr>
    <w:rPr>
      <w:rFonts w:ascii="Tahoma" w:cs="Tahoma" w:eastAsia="Tahoma" w:hAnsi="Tahoma"/>
      <w:sz w:val="16"/>
      <w:szCs w:val="16"/>
    </w:rPr>
  </w:style>
  <w:style w:type="paragraph" w:styleId="GPSL2Guidance" w:customStyle="1">
    <w:name w:val="GPS L2 Guidance"/>
    <w:basedOn w:val="Standard"/>
    <w:pPr>
      <w:tabs>
        <w:tab w:val="left" w:pos="2268"/>
      </w:tabs>
      <w:overflowPunct w:val="0"/>
      <w:spacing w:after="120" w:before="120"/>
      <w:ind w:left="1134"/>
      <w:textAlignment w:val="auto"/>
    </w:pPr>
    <w:rPr>
      <w:b w:val="1"/>
      <w:i w:val="1"/>
      <w:lang w:eastAsia="zh-CN"/>
    </w:rPr>
  </w:style>
  <w:style w:type="paragraph" w:styleId="GPSL2Indent" w:customStyle="1">
    <w:name w:val="GPS L2 Indent"/>
    <w:basedOn w:val="Standard"/>
    <w:pPr>
      <w:tabs>
        <w:tab w:val="left" w:pos="4536"/>
      </w:tabs>
      <w:spacing w:after="220"/>
      <w:ind w:left="1134"/>
    </w:pPr>
    <w:rPr>
      <w:szCs w:val="24"/>
    </w:rPr>
  </w:style>
  <w:style w:type="paragraph" w:styleId="GPSL4Guidance" w:customStyle="1">
    <w:name w:val="GPS L4 Guidance"/>
    <w:basedOn w:val="Standard"/>
    <w:pPr>
      <w:tabs>
        <w:tab w:val="left" w:pos="3970"/>
      </w:tabs>
      <w:overflowPunct w:val="0"/>
      <w:spacing w:after="120" w:before="120"/>
      <w:ind w:left="1985"/>
      <w:textAlignment w:val="auto"/>
    </w:pPr>
    <w:rPr>
      <w:b w:val="1"/>
      <w:i w:val="1"/>
      <w:lang w:eastAsia="zh-CN"/>
    </w:rPr>
  </w:style>
  <w:style w:type="paragraph" w:styleId="GPSL2non-numberboldheading" w:customStyle="1">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val="1"/>
      <w:bCs w:val="1"/>
    </w:rPr>
  </w:style>
  <w:style w:type="character" w:styleId="HeaderChar" w:customStyle="1">
    <w:name w:val="Header Char"/>
    <w:basedOn w:val="DefaultParagraphFont"/>
  </w:style>
  <w:style w:type="character" w:styleId="FooterChar" w:customStyle="1">
    <w:name w:val="Footer Char"/>
    <w:basedOn w:val="DefaultParagraphFont"/>
    <w:uiPriority w:val="99"/>
  </w:style>
  <w:style w:type="character" w:styleId="Emphasis">
    <w:name w:val="Emphasis"/>
    <w:basedOn w:val="DefaultParagraphFont"/>
    <w:rPr>
      <w:i w:val="1"/>
      <w:iCs w:val="1"/>
    </w:rPr>
  </w:style>
  <w:style w:type="character" w:styleId="MarginTextChar" w:customStyle="1">
    <w:name w:val="Margin Text Char"/>
    <w:rPr>
      <w:rFonts w:ascii="Calibri" w:cs="Times New Roman" w:eastAsia="STZhongsong" w:hAnsi="Calibri"/>
      <w:szCs w:val="18"/>
      <w:lang w:eastAsia="zh-CN"/>
    </w:rPr>
  </w:style>
  <w:style w:type="character" w:styleId="GPSL2NumberedChar" w:customStyle="1">
    <w:name w:val="GPS L2 Numbered Char"/>
    <w:rPr>
      <w:rFonts w:ascii="Calibri" w:cs="Arial" w:eastAsia="Times New Roman" w:hAnsi="Calibri"/>
      <w:lang w:eastAsia="zh-CN"/>
    </w:rPr>
  </w:style>
  <w:style w:type="character" w:styleId="GPSL1SCHEDULEHeadingChar" w:customStyle="1">
    <w:name w:val="GPS L1 SCHEDULE Heading Char"/>
    <w:rPr>
      <w:rFonts w:ascii="Calibri" w:cs="Arial" w:eastAsia="STZhongsong" w:hAnsi="Calibri"/>
      <w:b w:val="1"/>
      <w:caps w:val="1"/>
      <w:lang w:eastAsia="zh-CN"/>
    </w:rPr>
  </w:style>
  <w:style w:type="character" w:styleId="GPSL1SchedulenumberedChar1" w:customStyle="1">
    <w:name w:val="GPS L1 Schedule numbered Char1"/>
    <w:rPr>
      <w:rFonts w:ascii="Calibri" w:cs="Arial" w:eastAsia="Times New Roman" w:hAnsi="Calibri"/>
    </w:rPr>
  </w:style>
  <w:style w:type="character" w:styleId="GPSL1GuidanceChar" w:customStyle="1">
    <w:name w:val="GPS L1 Guidance Char"/>
    <w:rPr>
      <w:rFonts w:ascii="Calibri" w:cs="Arial" w:eastAsia="Times New Roman" w:hAnsi="Calibri"/>
      <w:b w:val="1"/>
      <w:i w:val="1"/>
    </w:rPr>
  </w:style>
  <w:style w:type="character" w:styleId="GPSSchTitleandNumberChar" w:customStyle="1">
    <w:name w:val="GPS Sch Title and Number Char"/>
    <w:rPr>
      <w:rFonts w:ascii="Arial Bold" w:cs="Times New Roman" w:eastAsia="STZhongsong" w:hAnsi="Arial Bold"/>
      <w:b w:val="1"/>
      <w:caps w:val="1"/>
      <w:lang w:eastAsia="zh-CN"/>
    </w:rPr>
  </w:style>
  <w:style w:type="character" w:styleId="GPSSchPartChar" w:customStyle="1">
    <w:name w:val="GPS Sch Part Char"/>
    <w:rPr>
      <w:rFonts w:ascii="Arial Bold" w:cs="Times New Roman" w:eastAsia="STZhongsong" w:hAnsi="Arial Bold"/>
      <w:b w:val="1"/>
      <w:caps w:val="1"/>
      <w:lang w:eastAsia="zh-CN"/>
    </w:rPr>
  </w:style>
  <w:style w:type="character" w:styleId="BalloonTextChar" w:customStyle="1">
    <w:name w:val="Balloon Text Char"/>
    <w:basedOn w:val="DefaultParagraphFont"/>
    <w:rPr>
      <w:rFonts w:ascii="Tahoma" w:cs="Tahoma" w:eastAsia="Times New Roman" w:hAnsi="Tahoma"/>
      <w:sz w:val="16"/>
      <w:szCs w:val="16"/>
    </w:rPr>
  </w:style>
  <w:style w:type="character" w:styleId="GPSL4numberedclauseChar" w:customStyle="1">
    <w:name w:val="GPS L4 numbered clause Char"/>
    <w:rPr>
      <w:rFonts w:ascii="Calibri" w:cs="Arial" w:eastAsia="Times New Roman" w:hAnsi="Calibri"/>
      <w:lang w:eastAsia="zh-CN"/>
    </w:rPr>
  </w:style>
  <w:style w:type="character" w:styleId="GPSL3numberedclauseChar" w:customStyle="1">
    <w:name w:val="GPS L3 numbered clause Char"/>
    <w:rPr>
      <w:rFonts w:ascii="Calibri" w:cs="Arial" w:eastAsia="Times New Roman" w:hAnsi="Calibri"/>
      <w:lang w:eastAsia="zh-CN"/>
    </w:rPr>
  </w:style>
  <w:style w:type="character" w:styleId="GPSL5numberedclauseChar" w:customStyle="1">
    <w:name w:val="GPS L5 numbered clause Char"/>
    <w:rPr>
      <w:rFonts w:ascii="Calibri" w:cs="Arial" w:eastAsia="Times New Roman" w:hAnsi="Calibri"/>
      <w:lang w:eastAsia="zh-CN"/>
    </w:rPr>
  </w:style>
  <w:style w:type="character" w:styleId="GPSL4GuidanceChar" w:customStyle="1">
    <w:name w:val="GPS L4 Guidance Char"/>
    <w:rPr>
      <w:rFonts w:ascii="Calibri" w:cs="Arial" w:eastAsia="Times New Roman" w:hAnsi="Calibri"/>
      <w:b w:val="1"/>
      <w:i w:val="1"/>
      <w:lang w:eastAsia="zh-CN"/>
    </w:rPr>
  </w:style>
  <w:style w:type="character" w:styleId="GPSL2non-numberboldheadingChar" w:customStyle="1">
    <w:name w:val="GPS L2 non-number bold heading Char"/>
    <w:rPr>
      <w:rFonts w:ascii="Calibri" w:cs="Arial" w:eastAsia="Times New Roman" w:hAnsi="Calibri"/>
      <w:b w:val="1"/>
      <w:lang w:eastAsia="zh-CN"/>
    </w:rPr>
  </w:style>
  <w:style w:type="character" w:styleId="GPSL2IndentChar" w:customStyle="1">
    <w:name w:val="GPS L2 Indent Char"/>
    <w:rPr>
      <w:rFonts w:ascii="Calibri" w:cs="Arial" w:eastAsia="Times New Roman" w:hAnsi="Calibri"/>
      <w:szCs w:val="24"/>
    </w:rPr>
  </w:style>
  <w:style w:type="character" w:styleId="GPSL2GuidanceChar" w:customStyle="1">
    <w:name w:val="GPS L2 Guidance Char"/>
    <w:rPr>
      <w:rFonts w:ascii="Calibri" w:cs="Arial" w:eastAsia="Times New Roman" w:hAnsi="Calibri"/>
      <w:b w:val="1"/>
      <w:i w:val="1"/>
      <w:lang w:eastAsia="zh-CN"/>
    </w:rPr>
  </w:style>
  <w:style w:type="character" w:styleId="CommentReference">
    <w:name w:val="annotation reference"/>
    <w:basedOn w:val="DefaultParagraphFont"/>
    <w:rPr>
      <w:sz w:val="16"/>
      <w:szCs w:val="16"/>
    </w:rPr>
  </w:style>
  <w:style w:type="character" w:styleId="CommentTextChar" w:customStyle="1">
    <w:name w:val="Comment Text Char"/>
    <w:basedOn w:val="DefaultParagraphFont"/>
    <w:rPr>
      <w:rFonts w:ascii="Calibri" w:cs="Arial" w:eastAsia="Times New Roman" w:hAnsi="Calibri"/>
      <w:sz w:val="20"/>
      <w:szCs w:val="20"/>
    </w:rPr>
  </w:style>
  <w:style w:type="character" w:styleId="CommentSubjectChar" w:customStyle="1">
    <w:name w:val="Comment Subject Char"/>
    <w:basedOn w:val="CommentTextChar"/>
    <w:rPr>
      <w:rFonts w:ascii="Calibri" w:cs="Arial" w:eastAsia="Times New Roman" w:hAnsi="Calibri"/>
      <w:b w:val="1"/>
      <w:bCs w:val="1"/>
      <w:sz w:val="20"/>
      <w:szCs w:val="20"/>
    </w:rPr>
  </w:style>
  <w:style w:type="character" w:styleId="ListLabel1" w:customStyle="1">
    <w:name w:val="ListLabel 1"/>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 w:customStyle="1">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 w:customStyle="1">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 w:customStyle="1">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 w:customStyle="1">
    <w:name w:val="ListLabel 5"/>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 w:customStyle="1">
    <w:name w:val="ListLabel 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 w:customStyle="1">
    <w:name w:val="ListLabel 7"/>
    <w:rPr>
      <w:rFonts w:cs="Times New Roman"/>
    </w:rPr>
  </w:style>
  <w:style w:type="character" w:styleId="ListLabel8" w:customStyle="1">
    <w:name w:val="ListLabel 8"/>
    <w:rPr>
      <w:rFonts w:cs="Times New Roman"/>
    </w:rPr>
  </w:style>
  <w:style w:type="character" w:styleId="ListLabel9" w:customStyle="1">
    <w:name w:val="ListLabel 9"/>
    <w:rPr>
      <w:rFonts w:cs="Times New Roman"/>
    </w:rPr>
  </w:style>
  <w:style w:type="character" w:styleId="ListLabel10" w:customStyle="1">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11" w:customStyle="1">
    <w:name w:val="ListLabel 11"/>
    <w:rPr>
      <w:rFonts w:cs="Times New Roman"/>
    </w:rPr>
  </w:style>
  <w:style w:type="character" w:styleId="ListLabel12" w:customStyle="1">
    <w:name w:val="ListLabel 12"/>
    <w:rPr>
      <w:rFonts w:cs="Times New Roman"/>
    </w:rPr>
  </w:style>
  <w:style w:type="character" w:styleId="ListLabel13" w:customStyle="1">
    <w:name w:val="ListLabel 13"/>
    <w:rPr>
      <w:rFonts w:cs="Times New Roman"/>
    </w:rPr>
  </w:style>
  <w:style w:type="character" w:styleId="ListLabel14" w:customStyle="1">
    <w:name w:val="ListLabel 14"/>
    <w:rPr>
      <w:rFonts w:cs="Times New Roman"/>
    </w:rPr>
  </w:style>
  <w:style w:type="character" w:styleId="ListLabel15" w:customStyle="1">
    <w:name w:val="ListLabel 15"/>
    <w:rPr>
      <w:rFonts w:cs="Times New Roman"/>
    </w:rPr>
  </w:style>
  <w:style w:type="character" w:styleId="ListLabel16" w:customStyle="1">
    <w:name w:val="ListLabel 16"/>
    <w:rPr>
      <w:rFonts w:cs="Times New Roman"/>
    </w:rPr>
  </w:style>
  <w:style w:type="character" w:styleId="ListLabel17" w:customStyle="1">
    <w:name w:val="ListLabel 17"/>
    <w:rPr>
      <w:rFonts w:cs="Times New Roman"/>
    </w:rPr>
  </w:style>
  <w:style w:type="character" w:styleId="ListLabel18" w:customStyle="1">
    <w:name w:val="ListLabel 18"/>
    <w:rPr>
      <w:rFonts w:cs="Times New Roman"/>
    </w:rPr>
  </w:style>
  <w:style w:type="character" w:styleId="ListLabel19" w:customStyle="1">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0" w:customStyle="1">
    <w:name w:val="ListLabel 20"/>
    <w:rPr>
      <w:rFonts w:cs="Times New Roman"/>
    </w:rPr>
  </w:style>
  <w:style w:type="character" w:styleId="ListLabel21" w:customStyle="1">
    <w:name w:val="ListLabel 21"/>
    <w:rPr>
      <w:rFonts w:cs="Times New Roman"/>
    </w:rPr>
  </w:style>
  <w:style w:type="character" w:styleId="ListLabel22" w:customStyle="1">
    <w:name w:val="ListLabel 22"/>
    <w:rPr>
      <w:rFonts w:cs="Times New Roman"/>
    </w:rPr>
  </w:style>
  <w:style w:type="character" w:styleId="ListLabel23" w:customStyle="1">
    <w:name w:val="ListLabel 23"/>
    <w:rPr>
      <w:rFonts w:cs="Times New Roman"/>
    </w:rPr>
  </w:style>
  <w:style w:type="character" w:styleId="ListLabel24" w:customStyle="1">
    <w:name w:val="ListLabel 24"/>
    <w:rPr>
      <w:rFonts w:cs="Times New Roman"/>
    </w:rPr>
  </w:style>
  <w:style w:type="character" w:styleId="ListLabel25" w:customStyle="1">
    <w:name w:val="ListLabel 25"/>
    <w:rPr>
      <w:rFonts w:cs="Times New Roman"/>
    </w:rPr>
  </w:style>
  <w:style w:type="character" w:styleId="ListLabel26" w:customStyle="1">
    <w:name w:val="ListLabel 26"/>
    <w:rPr>
      <w:rFonts w:cs="Times New Roman"/>
    </w:rPr>
  </w:style>
  <w:style w:type="character" w:styleId="ListLabel27" w:customStyle="1">
    <w:name w:val="ListLabel 27"/>
    <w:rPr>
      <w:rFonts w:cs="Times New Roman"/>
    </w:rPr>
  </w:style>
  <w:style w:type="character" w:styleId="ListLabel28" w:customStyle="1">
    <w:name w:val="ListLabel 28"/>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9" w:customStyle="1">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0" w:customStyle="1">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1" w:customStyle="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2" w:customStyle="1">
    <w:name w:val="ListLabel 3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3" w:customStyle="1">
    <w:name w:val="ListLabel 33"/>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4" w:customStyle="1">
    <w:name w:val="ListLabel 34"/>
    <w:rPr>
      <w:rFonts w:cs="Times New Roman"/>
    </w:rPr>
  </w:style>
  <w:style w:type="character" w:styleId="ListLabel35" w:customStyle="1">
    <w:name w:val="ListLabel 35"/>
    <w:rPr>
      <w:rFonts w:cs="Times New Roman"/>
    </w:rPr>
  </w:style>
  <w:style w:type="character" w:styleId="ListLabel36" w:customStyle="1">
    <w:name w:val="ListLabel 36"/>
    <w:rPr>
      <w:rFonts w:cs="Times New Roman"/>
    </w:rPr>
  </w:style>
  <w:style w:type="character" w:styleId="ListLabel37" w:customStyle="1">
    <w:name w:val="ListLabel 37"/>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8" w:customStyle="1">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9" w:customStyle="1">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0" w:customStyle="1">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1" w:customStyle="1">
    <w:name w:val="ListLabel 4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2" w:customStyle="1">
    <w:name w:val="ListLabel 4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3" w:customStyle="1">
    <w:name w:val="ListLabel 43"/>
    <w:rPr>
      <w:rFonts w:cs="Times New Roman"/>
    </w:rPr>
  </w:style>
  <w:style w:type="character" w:styleId="ListLabel44" w:customStyle="1">
    <w:name w:val="ListLabel 44"/>
    <w:rPr>
      <w:rFonts w:cs="Times New Roman"/>
    </w:rPr>
  </w:style>
  <w:style w:type="character" w:styleId="ListLabel45" w:customStyle="1">
    <w:name w:val="ListLabel 45"/>
    <w:rPr>
      <w:rFonts w:cs="Times New Roman"/>
    </w:rPr>
  </w:style>
  <w:style w:type="character" w:styleId="ListLabel46" w:customStyle="1">
    <w:name w:val="ListLabel 46"/>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7" w:customStyle="1">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8" w:customStyle="1">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9" w:customStyle="1">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0" w:customStyle="1">
    <w:name w:val="ListLabel 5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1" w:customStyle="1">
    <w:name w:val="ListLabel 5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2" w:customStyle="1">
    <w:name w:val="ListLabel 52"/>
    <w:rPr>
      <w:rFonts w:cs="Times New Roman"/>
    </w:rPr>
  </w:style>
  <w:style w:type="character" w:styleId="ListLabel53" w:customStyle="1">
    <w:name w:val="ListLabel 53"/>
    <w:rPr>
      <w:rFonts w:cs="Times New Roman"/>
    </w:rPr>
  </w:style>
  <w:style w:type="character" w:styleId="ListLabel54" w:customStyle="1">
    <w:name w:val="ListLabel 54"/>
    <w:rPr>
      <w:rFonts w:cs="Times New Roman"/>
    </w:rPr>
  </w:style>
  <w:style w:type="character" w:styleId="ListLabel55" w:customStyle="1">
    <w:name w:val="ListLabel 55"/>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6" w:customStyle="1">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7" w:customStyle="1">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8" w:customStyle="1">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9" w:customStyle="1">
    <w:name w:val="ListLabel 59"/>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0" w:customStyle="1">
    <w:name w:val="ListLabel 6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1" w:customStyle="1">
    <w:name w:val="ListLabel 61"/>
    <w:rPr>
      <w:rFonts w:cs="Times New Roman"/>
    </w:rPr>
  </w:style>
  <w:style w:type="character" w:styleId="ListLabel62" w:customStyle="1">
    <w:name w:val="ListLabel 62"/>
    <w:rPr>
      <w:rFonts w:cs="Times New Roman"/>
    </w:rPr>
  </w:style>
  <w:style w:type="character" w:styleId="ListLabel63" w:customStyle="1">
    <w:name w:val="ListLabel 63"/>
    <w:rPr>
      <w:rFonts w:cs="Times New Roman"/>
    </w:rPr>
  </w:style>
  <w:style w:type="character" w:styleId="ListLabel64" w:customStyle="1">
    <w:name w:val="ListLabel 64"/>
    <w:rPr>
      <w:rFonts w:cs="Courier New"/>
      <w:b w:val="0"/>
    </w:rPr>
  </w:style>
  <w:style w:type="character" w:styleId="ListLabel65" w:customStyle="1">
    <w:name w:val="ListLabel 65"/>
    <w:rPr>
      <w:rFonts w:cs="Courier New"/>
    </w:rPr>
  </w:style>
  <w:style w:type="character" w:styleId="ListLabel66" w:customStyle="1">
    <w:name w:val="ListLabel 66"/>
    <w:rPr>
      <w:rFonts w:cs="Courier New"/>
    </w:rPr>
  </w:style>
  <w:style w:type="character" w:styleId="ListLabel67" w:customStyle="1">
    <w:name w:val="ListLabel 67"/>
    <w:rPr>
      <w:rFonts w:cs="Courier New"/>
    </w:rPr>
  </w:style>
  <w:style w:type="character" w:styleId="ListLabel68" w:customStyle="1">
    <w:name w:val="ListLabel 68"/>
    <w:rPr>
      <w:rFonts w:cs="Courier New"/>
    </w:rPr>
  </w:style>
  <w:style w:type="character" w:styleId="ListLabel69" w:customStyle="1">
    <w:name w:val="ListLabel 69"/>
    <w:rPr>
      <w:rFonts w:cs="Courier New"/>
    </w:rPr>
  </w:style>
  <w:style w:type="character" w:styleId="ListLabel70" w:customStyle="1">
    <w:name w:val="ListLabel 70"/>
    <w:rPr>
      <w:rFonts w:cs="Courier New"/>
    </w:rPr>
  </w:style>
  <w:style w:type="character" w:styleId="ListLabel71" w:customStyle="1">
    <w:name w:val="ListLabel 71"/>
    <w:rPr>
      <w:rFonts w:cs="Courier New"/>
    </w:rPr>
  </w:style>
  <w:style w:type="character" w:styleId="ListLabel72" w:customStyle="1">
    <w:name w:val="ListLabel 72"/>
    <w:rPr>
      <w:rFonts w:cs="Courier New"/>
    </w:rPr>
  </w:style>
  <w:style w:type="character" w:styleId="ListLabel73" w:customStyle="1">
    <w:name w:val="ListLabel 73"/>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4" w:customStyle="1">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5" w:customStyle="1">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6" w:customStyle="1">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7" w:customStyle="1">
    <w:name w:val="ListLabel 7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8" w:customStyle="1">
    <w:name w:val="ListLabel 78"/>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9" w:customStyle="1">
    <w:name w:val="ListLabel 79"/>
    <w:rPr>
      <w:rFonts w:cs="Times New Roman"/>
    </w:rPr>
  </w:style>
  <w:style w:type="character" w:styleId="ListLabel80" w:customStyle="1">
    <w:name w:val="ListLabel 80"/>
    <w:rPr>
      <w:rFonts w:cs="Times New Roman"/>
    </w:rPr>
  </w:style>
  <w:style w:type="character" w:styleId="ListLabel81" w:customStyle="1">
    <w:name w:val="ListLabel 81"/>
    <w:rPr>
      <w:rFonts w:cs="Times New Roman"/>
    </w:rPr>
  </w:style>
  <w:style w:type="character" w:styleId="ListLabel82" w:customStyle="1">
    <w:name w:val="ListLabel 82"/>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3" w:customStyle="1">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4" w:customStyle="1">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5" w:customStyle="1">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6" w:customStyle="1">
    <w:name w:val="ListLabel 8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7" w:customStyle="1">
    <w:name w:val="ListLabel 8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8" w:customStyle="1">
    <w:name w:val="ListLabel 88"/>
    <w:rPr>
      <w:rFonts w:cs="Times New Roman"/>
    </w:rPr>
  </w:style>
  <w:style w:type="character" w:styleId="ListLabel89" w:customStyle="1">
    <w:name w:val="ListLabel 89"/>
    <w:rPr>
      <w:rFonts w:cs="Times New Roman"/>
    </w:rPr>
  </w:style>
  <w:style w:type="character" w:styleId="ListLabel90" w:customStyle="1">
    <w:name w:val="ListLabel 90"/>
    <w:rPr>
      <w:rFonts w:cs="Times New Roman"/>
    </w:rPr>
  </w:style>
  <w:style w:type="numbering" w:styleId="NoList1" w:customStyle="1">
    <w:name w:val="No List_1"/>
    <w:basedOn w:val="NoList"/>
    <w:pPr>
      <w:numPr>
        <w:numId w:val="1"/>
      </w:numPr>
    </w:pPr>
  </w:style>
  <w:style w:type="numbering" w:styleId="WWNum1" w:customStyle="1">
    <w:name w:val="WWNum1"/>
    <w:basedOn w:val="NoList"/>
    <w:pPr>
      <w:numPr>
        <w:numId w:val="2"/>
      </w:numPr>
    </w:pPr>
  </w:style>
  <w:style w:type="numbering" w:styleId="WWNum2" w:customStyle="1">
    <w:name w:val="WWNum2"/>
    <w:basedOn w:val="NoList"/>
    <w:pPr>
      <w:numPr>
        <w:numId w:val="3"/>
      </w:numPr>
    </w:pPr>
  </w:style>
  <w:style w:type="numbering" w:styleId="WWNum3" w:customStyle="1">
    <w:name w:val="WWNum3"/>
    <w:basedOn w:val="NoList"/>
    <w:pPr>
      <w:numPr>
        <w:numId w:val="4"/>
      </w:numPr>
    </w:pPr>
  </w:style>
  <w:style w:type="numbering" w:styleId="WWNum4" w:customStyle="1">
    <w:name w:val="WWNum4"/>
    <w:basedOn w:val="NoList"/>
    <w:pPr>
      <w:numPr>
        <w:numId w:val="5"/>
      </w:numPr>
    </w:pPr>
  </w:style>
  <w:style w:type="numbering" w:styleId="WWNum5" w:customStyle="1">
    <w:name w:val="WWNum5"/>
    <w:basedOn w:val="NoList"/>
    <w:pPr>
      <w:numPr>
        <w:numId w:val="6"/>
      </w:numPr>
    </w:pPr>
  </w:style>
  <w:style w:type="numbering" w:styleId="WWNum6" w:customStyle="1">
    <w:name w:val="WWNum6"/>
    <w:basedOn w:val="NoList"/>
    <w:pPr>
      <w:numPr>
        <w:numId w:val="7"/>
      </w:numPr>
    </w:pPr>
  </w:style>
  <w:style w:type="numbering" w:styleId="WWNum7" w:customStyle="1">
    <w:name w:val="WWNum7"/>
    <w:basedOn w:val="NoList"/>
    <w:pPr>
      <w:numPr>
        <w:numId w:val="8"/>
      </w:numPr>
    </w:pPr>
  </w:style>
  <w:style w:type="numbering" w:styleId="WWNum8" w:customStyle="1">
    <w:name w:val="WWNum8"/>
    <w:basedOn w:val="NoList"/>
    <w:pPr>
      <w:numPr>
        <w:numId w:val="9"/>
      </w:numPr>
    </w:pPr>
  </w:style>
  <w:style w:type="numbering" w:styleId="WWNum9" w:customStyle="1">
    <w:name w:val="WWNum9"/>
    <w:basedOn w:val="NoList"/>
    <w:pPr>
      <w:numPr>
        <w:numId w:val="10"/>
      </w:numPr>
    </w:pPr>
  </w:style>
  <w:style w:type="numbering" w:styleId="WWNum10" w:customStyle="1">
    <w:name w:val="WWNum10"/>
    <w:basedOn w:val="NoList"/>
    <w:pPr>
      <w:numPr>
        <w:numId w:val="11"/>
      </w:numPr>
    </w:pPr>
  </w:style>
  <w:style w:type="numbering" w:styleId="WWNum11" w:customStyle="1">
    <w:name w:val="WWNum11"/>
    <w:basedOn w:val="NoList"/>
    <w:pPr>
      <w:numPr>
        <w:numId w:val="12"/>
      </w:numPr>
    </w:pPr>
  </w:style>
  <w:style w:type="numbering" w:styleId="WWNum12" w:customStyle="1">
    <w:name w:val="WWNum12"/>
    <w:basedOn w:val="NoList"/>
    <w:pPr>
      <w:numPr>
        <w:numId w:val="21"/>
      </w:numPr>
    </w:pPr>
  </w:style>
  <w:style w:type="numbering" w:styleId="WWNum13" w:customStyle="1">
    <w:name w:val="WWNum13"/>
    <w:basedOn w:val="NoList"/>
    <w:pPr>
      <w:numPr>
        <w:numId w:val="14"/>
      </w:numPr>
    </w:pPr>
  </w:style>
  <w:style w:type="table" w:styleId="TableGrid">
    <w:name w:val="Table Grid"/>
    <w:basedOn w:val="TableNormal"/>
    <w:uiPriority w:val="59"/>
    <w:rsid w:val="007A5C9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AMainHeading" w:customStyle="1">
    <w:name w:val="FA: Main Heading"/>
    <w:basedOn w:val="Heading1"/>
    <w:qFormat w:val="1"/>
    <w:rsid w:val="00532FDD"/>
    <w:pPr>
      <w:numPr>
        <w:numId w:val="22"/>
      </w:numPr>
      <w:tabs>
        <w:tab w:val="num" w:pos="360"/>
      </w:tabs>
      <w:suppressAutoHyphens w:val="0"/>
      <w:autoSpaceDN w:val="1"/>
      <w:spacing w:after="20" w:before="20"/>
      <w:ind w:left="0" w:firstLine="0"/>
      <w:textAlignment w:val="auto"/>
    </w:pPr>
    <w:rPr>
      <w:rFonts w:ascii="Arial" w:cs="Arial" w:eastAsia="Calibri" w:hAnsi="Arial"/>
      <w:b w:val="1"/>
      <w:color w:val="auto"/>
      <w:sz w:val="22"/>
      <w:szCs w:val="36"/>
      <w:lang w:eastAsia="en-GB"/>
    </w:rPr>
  </w:style>
  <w:style w:type="paragraph" w:styleId="FALevel1" w:customStyle="1">
    <w:name w:val="FA: Level 1"/>
    <w:basedOn w:val="Normal"/>
    <w:link w:val="FALevel1Char"/>
    <w:qFormat w:val="1"/>
    <w:rsid w:val="00532FDD"/>
    <w:pPr>
      <w:widowControl w:val="1"/>
      <w:numPr>
        <w:ilvl w:val="1"/>
        <w:numId w:val="22"/>
      </w:numPr>
      <w:suppressAutoHyphens w:val="0"/>
      <w:autoSpaceDN w:val="1"/>
      <w:spacing w:after="280" w:before="120" w:line="259" w:lineRule="auto"/>
      <w:textAlignment w:val="auto"/>
    </w:pPr>
    <w:rPr>
      <w:rFonts w:ascii="Arial" w:cs="Arial" w:hAnsi="Arial" w:eastAsiaTheme="minorHAnsi"/>
    </w:rPr>
  </w:style>
  <w:style w:type="character" w:styleId="FALevel1Char" w:customStyle="1">
    <w:name w:val="FA: Level 1 Char"/>
    <w:basedOn w:val="DefaultParagraphFont"/>
    <w:link w:val="FALevel1"/>
    <w:rsid w:val="00532FDD"/>
    <w:rPr>
      <w:rFonts w:ascii="Arial" w:cs="Arial" w:hAnsi="Arial" w:eastAsiaTheme="minorHAnsi"/>
    </w:rPr>
  </w:style>
  <w:style w:type="paragraph" w:styleId="FALevel2" w:customStyle="1">
    <w:name w:val="FA: Level 2"/>
    <w:basedOn w:val="Normal"/>
    <w:link w:val="FALevel2Char"/>
    <w:qFormat w:val="1"/>
    <w:rsid w:val="00532FDD"/>
    <w:pPr>
      <w:widowControl w:val="1"/>
      <w:numPr>
        <w:ilvl w:val="2"/>
        <w:numId w:val="22"/>
      </w:numPr>
      <w:suppressAutoHyphens w:val="0"/>
      <w:autoSpaceDN w:val="1"/>
      <w:spacing w:after="280" w:before="120" w:line="259" w:lineRule="auto"/>
      <w:textAlignment w:val="auto"/>
    </w:pPr>
    <w:rPr>
      <w:rFonts w:ascii="Arial" w:cs="Arial" w:hAnsi="Arial" w:eastAsiaTheme="minorHAnsi"/>
    </w:rPr>
  </w:style>
  <w:style w:type="character" w:styleId="FALevel2Char" w:customStyle="1">
    <w:name w:val="FA: Level 2 Char"/>
    <w:basedOn w:val="DefaultParagraphFont"/>
    <w:link w:val="FALevel2"/>
    <w:rsid w:val="00532FDD"/>
    <w:rPr>
      <w:rFonts w:ascii="Arial" w:cs="Arial" w:hAnsi="Arial" w:eastAsiaTheme="minorHAnsi"/>
    </w:rPr>
  </w:style>
  <w:style w:type="character" w:styleId="Heading1Char" w:customStyle="1">
    <w:name w:val="Heading 1 Char"/>
    <w:basedOn w:val="DefaultParagraphFont"/>
    <w:link w:val="Heading1"/>
    <w:uiPriority w:val="9"/>
    <w:rsid w:val="00532FDD"/>
    <w:rPr>
      <w:rFonts w:asciiTheme="majorHAnsi" w:cstheme="majorBidi" w:eastAsiaTheme="majorEastAsia" w:hAnsiTheme="majorHAnsi"/>
      <w:color w:val="2f5496" w:themeColor="accent1" w:themeShade="0000BF"/>
      <w:sz w:val="32"/>
      <w:szCs w:val="32"/>
    </w:rPr>
  </w:style>
  <w:style w:type="paragraph" w:styleId="FABulletPoints" w:customStyle="1">
    <w:name w:val="FA: Bullet Points"/>
    <w:basedOn w:val="Normal"/>
    <w:link w:val="FABulletPointsChar"/>
    <w:qFormat w:val="1"/>
    <w:rsid w:val="00532FDD"/>
    <w:pPr>
      <w:widowControl w:val="1"/>
      <w:numPr>
        <w:numId w:val="23"/>
      </w:numPr>
      <w:suppressAutoHyphens w:val="0"/>
      <w:autoSpaceDN w:val="1"/>
      <w:textAlignment w:val="auto"/>
    </w:pPr>
    <w:rPr>
      <w:rFonts w:ascii="Arial" w:cs="Arial" w:hAnsi="Arial" w:eastAsiaTheme="minorHAnsi"/>
    </w:rPr>
  </w:style>
  <w:style w:type="character" w:styleId="FABulletPointsChar" w:customStyle="1">
    <w:name w:val="FA: Bullet Points Char"/>
    <w:basedOn w:val="DefaultParagraphFont"/>
    <w:link w:val="FABulletPoints"/>
    <w:rsid w:val="00532FDD"/>
    <w:rPr>
      <w:rFonts w:ascii="Arial" w:cs="Arial" w:hAnsi="Arial" w:eastAsiaTheme="minorHAnsi"/>
    </w:rPr>
  </w:style>
  <w:style w:type="paragraph" w:styleId="Revision">
    <w:name w:val="Revision"/>
    <w:hidden w:val="1"/>
    <w:uiPriority w:val="99"/>
    <w:semiHidden w:val="1"/>
    <w:rsid w:val="00CE0EDB"/>
    <w:pPr>
      <w:widowControl w:val="1"/>
      <w:suppressAutoHyphens w:val="0"/>
      <w:autoSpaceDN w:val="1"/>
      <w:textAlignment w:val="auto"/>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MZPIfiWY9jD93oiFgSdaWwepSKg==">AMUW2mXecKIo4G87b6B8XH8YnyRvFm9LT42YxNqO4TMpMSlh4L1+b7e4gfXylSwT4VvAHFn+cxNmlylNZ9Rrvuum/bnfZB6xFadD2ipqvns+DfVe45pHBrCUovEaZJxKF3glocdrrsWodj+KKtruI1rw3uh9wud+vjQT0oaDrUxz6/lIsK0TvVqYnVl5v7grEkKXYR0hkKnT30obRl0Ardx8M2JjKYCkpFxtD4oolIqRuBxTvuZkinEFZgsQBcM9Ife7rQUypMBnfs3CBzCAgxRH30E51MwKq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2020-10-15T09:02:00Z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